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CA83" w14:textId="0533BE69" w:rsidR="00CF648F" w:rsidRDefault="00CF648F" w:rsidP="00CF648F">
      <w:pPr>
        <w:jc w:val="center"/>
        <w:rPr>
          <w:b/>
          <w:bCs/>
          <w:sz w:val="24"/>
          <w:lang w:val="tr-TR"/>
        </w:rPr>
      </w:pPr>
      <w:r w:rsidRPr="00B519C4">
        <w:rPr>
          <w:b/>
          <w:bCs/>
          <w:sz w:val="24"/>
          <w:lang w:val="tr-TR"/>
        </w:rPr>
        <w:t>TITLE MUST BE IN TIMES NEW ROMAN FORMAT, IN CAPITAL LETTERS AND 12 POINT BOLD, TITLE MUST BE CENTERED</w:t>
      </w:r>
    </w:p>
    <w:p w14:paraId="37F8C503" w14:textId="77777777" w:rsidR="00CF648F" w:rsidRPr="00E00BA3" w:rsidRDefault="00CF648F" w:rsidP="00CF648F">
      <w:pPr>
        <w:jc w:val="center"/>
        <w:rPr>
          <w:b/>
          <w:bCs/>
          <w:caps/>
          <w:szCs w:val="20"/>
          <w:lang w:val="tr-TR"/>
        </w:rPr>
      </w:pPr>
    </w:p>
    <w:p w14:paraId="5DAAD682" w14:textId="31E53F68" w:rsidR="00CF648F" w:rsidRPr="002C5DD9" w:rsidRDefault="00CF648F" w:rsidP="00CF648F">
      <w:pPr>
        <w:jc w:val="center"/>
        <w:rPr>
          <w:caps/>
          <w:sz w:val="18"/>
          <w:szCs w:val="18"/>
          <w:vertAlign w:val="superscript"/>
          <w:lang w:val="tr-TR"/>
        </w:rPr>
      </w:pPr>
      <w:r w:rsidRPr="002C5DD9">
        <w:rPr>
          <w:sz w:val="18"/>
          <w:szCs w:val="18"/>
          <w:lang w:val="tr-TR"/>
        </w:rPr>
        <w:t>Zeynep Aydın</w:t>
      </w:r>
      <w:r w:rsidRPr="002C5DD9">
        <w:rPr>
          <w:sz w:val="18"/>
          <w:szCs w:val="18"/>
          <w:vertAlign w:val="superscript"/>
          <w:lang w:val="tr-TR"/>
        </w:rPr>
        <w:t>1</w:t>
      </w:r>
      <w:r w:rsidR="00F72D2C">
        <w:rPr>
          <w:sz w:val="18"/>
          <w:szCs w:val="18"/>
          <w:vertAlign w:val="superscript"/>
          <w:lang w:val="tr-TR"/>
        </w:rPr>
        <w:t>*</w:t>
      </w:r>
      <w:r w:rsidRPr="002C5DD9">
        <w:rPr>
          <w:sz w:val="18"/>
          <w:szCs w:val="18"/>
          <w:lang w:val="tr-TR"/>
        </w:rPr>
        <w:t xml:space="preserve">, </w:t>
      </w:r>
      <w:r>
        <w:rPr>
          <w:sz w:val="18"/>
          <w:szCs w:val="18"/>
          <w:lang w:val="tr-TR"/>
        </w:rPr>
        <w:t>Aykut Yılmaz</w:t>
      </w:r>
      <w:r w:rsidRPr="002C5DD9">
        <w:rPr>
          <w:sz w:val="18"/>
          <w:szCs w:val="18"/>
          <w:lang w:val="tr-TR"/>
        </w:rPr>
        <w:t xml:space="preserve"> Özdemir</w:t>
      </w:r>
      <w:r w:rsidRPr="002C5DD9">
        <w:rPr>
          <w:sz w:val="18"/>
          <w:szCs w:val="18"/>
          <w:vertAlign w:val="superscript"/>
          <w:lang w:val="tr-TR"/>
        </w:rPr>
        <w:t>2</w:t>
      </w:r>
      <w:r w:rsidRPr="002C5DD9">
        <w:rPr>
          <w:sz w:val="18"/>
          <w:szCs w:val="18"/>
          <w:lang w:val="tr-TR"/>
        </w:rPr>
        <w:t xml:space="preserve"> </w:t>
      </w:r>
    </w:p>
    <w:p w14:paraId="7DF431EF" w14:textId="77777777" w:rsidR="00CF648F" w:rsidRPr="002C5DD9" w:rsidRDefault="00CF648F" w:rsidP="00CF648F">
      <w:pPr>
        <w:jc w:val="center"/>
        <w:rPr>
          <w:b/>
          <w:bCs/>
          <w:caps/>
          <w:sz w:val="18"/>
          <w:szCs w:val="18"/>
          <w:vertAlign w:val="superscript"/>
          <w:lang w:val="tr-TR"/>
        </w:rPr>
      </w:pPr>
    </w:p>
    <w:p w14:paraId="1C2C8F91" w14:textId="76B16E55" w:rsidR="00CF648F" w:rsidRDefault="000D2258" w:rsidP="000D2258">
      <w:pPr>
        <w:widowControl w:val="0"/>
        <w:autoSpaceDE w:val="0"/>
        <w:autoSpaceDN w:val="0"/>
        <w:ind w:left="116"/>
        <w:jc w:val="center"/>
        <w:rPr>
          <w:sz w:val="18"/>
          <w:szCs w:val="18"/>
          <w:lang w:val="tr-TR"/>
        </w:rPr>
      </w:pPr>
      <w:r>
        <w:rPr>
          <w:bCs/>
          <w:sz w:val="18"/>
          <w:szCs w:val="18"/>
          <w:vertAlign w:val="superscript"/>
          <w:lang w:val="tr-TR"/>
        </w:rPr>
        <w:t xml:space="preserve">1 </w:t>
      </w:r>
      <w:r w:rsidRPr="000D2258">
        <w:rPr>
          <w:sz w:val="18"/>
          <w:szCs w:val="18"/>
          <w:lang w:val="tr-TR" w:eastAsia="en-GB"/>
        </w:rPr>
        <w:t>It should be written in 9-point Times New Roman font, and the postal code, district, city, and country must be specified. Email address and ORCID information must also be provided.</w:t>
      </w:r>
      <w:r>
        <w:rPr>
          <w:sz w:val="18"/>
          <w:szCs w:val="18"/>
          <w:lang w:val="tr-TR" w:eastAsia="en-GB"/>
        </w:rPr>
        <w:t xml:space="preserve"> </w:t>
      </w:r>
      <w:r w:rsidR="00CF648F" w:rsidRPr="00CF648F">
        <w:rPr>
          <w:bCs/>
          <w:sz w:val="18"/>
          <w:szCs w:val="18"/>
          <w:lang w:val="tr-TR"/>
        </w:rPr>
        <w:t>Istanbul Technical University</w:t>
      </w:r>
      <w:r w:rsidR="00CF648F" w:rsidRPr="002C5DD9">
        <w:rPr>
          <w:sz w:val="18"/>
          <w:szCs w:val="18"/>
          <w:lang w:val="tr-TR"/>
        </w:rPr>
        <w:t xml:space="preserve"> </w:t>
      </w:r>
      <w:r w:rsidR="00CF648F" w:rsidRPr="000D2258">
        <w:rPr>
          <w:bCs/>
          <w:sz w:val="18"/>
          <w:szCs w:val="18"/>
        </w:rPr>
        <w:t>Faculty</w:t>
      </w:r>
      <w:r w:rsidR="00CF648F" w:rsidRPr="000D2258">
        <w:rPr>
          <w:sz w:val="18"/>
          <w:szCs w:val="18"/>
        </w:rPr>
        <w:t> of </w:t>
      </w:r>
      <w:r w:rsidR="00CF648F" w:rsidRPr="000D2258">
        <w:rPr>
          <w:bCs/>
          <w:sz w:val="18"/>
          <w:szCs w:val="18"/>
        </w:rPr>
        <w:t>Architecture, Department</w:t>
      </w:r>
      <w:r w:rsidR="00CF648F">
        <w:rPr>
          <w:sz w:val="18"/>
          <w:szCs w:val="18"/>
          <w:lang w:val="tr-TR"/>
        </w:rPr>
        <w:t xml:space="preserve"> of </w:t>
      </w:r>
      <w:r w:rsidR="00CF648F" w:rsidRPr="00CF648F">
        <w:rPr>
          <w:sz w:val="18"/>
          <w:szCs w:val="18"/>
        </w:rPr>
        <w:t>Urban and </w:t>
      </w:r>
      <w:r w:rsidR="00CF648F" w:rsidRPr="000D2258">
        <w:rPr>
          <w:bCs/>
          <w:sz w:val="18"/>
          <w:szCs w:val="18"/>
        </w:rPr>
        <w:t>Regional Planning</w:t>
      </w:r>
      <w:r w:rsidR="00CF648F" w:rsidRPr="002C5DD9">
        <w:rPr>
          <w:sz w:val="18"/>
          <w:szCs w:val="18"/>
          <w:lang w:val="tr-TR"/>
        </w:rPr>
        <w:t xml:space="preserve">, Taşkışla </w:t>
      </w:r>
      <w:r w:rsidR="00CF648F" w:rsidRPr="00CF648F">
        <w:rPr>
          <w:sz w:val="18"/>
          <w:szCs w:val="18"/>
        </w:rPr>
        <w:t>Campus</w:t>
      </w:r>
      <w:r w:rsidR="00CF648F" w:rsidRPr="002C5DD9">
        <w:rPr>
          <w:sz w:val="18"/>
          <w:szCs w:val="18"/>
          <w:lang w:val="tr-TR"/>
        </w:rPr>
        <w:t>, 34367, Şişli, İstanbul, Türkiye</w:t>
      </w:r>
    </w:p>
    <w:p w14:paraId="748C7D52" w14:textId="3D8B0F6D" w:rsidR="00CF648F" w:rsidRPr="002C5DD9" w:rsidRDefault="000D2258" w:rsidP="00CF648F">
      <w:pPr>
        <w:widowControl w:val="0"/>
        <w:autoSpaceDE w:val="0"/>
        <w:autoSpaceDN w:val="0"/>
        <w:ind w:left="116"/>
        <w:jc w:val="center"/>
        <w:rPr>
          <w:sz w:val="18"/>
          <w:szCs w:val="18"/>
          <w:lang w:val="tr-TR"/>
        </w:rPr>
      </w:pPr>
      <w:r>
        <w:rPr>
          <w:sz w:val="18"/>
          <w:szCs w:val="18"/>
          <w:lang w:val="tr-TR"/>
        </w:rPr>
        <w:t xml:space="preserve"> </w:t>
      </w:r>
    </w:p>
    <w:p w14:paraId="4CB0B636" w14:textId="1ADBA0B8" w:rsidR="00CF648F" w:rsidRPr="00CF648F" w:rsidRDefault="00CF648F" w:rsidP="00CF648F">
      <w:pPr>
        <w:widowControl w:val="0"/>
        <w:autoSpaceDE w:val="0"/>
        <w:autoSpaceDN w:val="0"/>
        <w:ind w:left="116"/>
        <w:jc w:val="center"/>
        <w:rPr>
          <w:sz w:val="18"/>
          <w:szCs w:val="18"/>
          <w:lang w:val="tr-TR"/>
        </w:rPr>
      </w:pPr>
      <w:r w:rsidRPr="00CF648F">
        <w:rPr>
          <w:sz w:val="18"/>
          <w:szCs w:val="18"/>
          <w:vertAlign w:val="superscript"/>
          <w:lang w:val="tr-TR"/>
        </w:rPr>
        <w:t>2</w:t>
      </w:r>
      <w:r w:rsidR="000D2258">
        <w:rPr>
          <w:sz w:val="18"/>
          <w:szCs w:val="18"/>
          <w:vertAlign w:val="superscript"/>
          <w:lang w:val="tr-TR"/>
        </w:rPr>
        <w:t xml:space="preserve"> </w:t>
      </w:r>
      <w:r w:rsidRPr="00CF648F">
        <w:rPr>
          <w:bCs/>
          <w:sz w:val="18"/>
          <w:szCs w:val="18"/>
          <w:lang w:val="tr-TR"/>
        </w:rPr>
        <w:t>Istanbul Technical University, Faculty of Aeronautics and Astronautics, Department of Climate Science and Meteorological Engineering, Ayazağa Campus, 34469, Maslak, Istanbul, Türkiye</w:t>
      </w:r>
    </w:p>
    <w:p w14:paraId="324B2689" w14:textId="77777777" w:rsidR="00CF648F" w:rsidRPr="002C5DD9" w:rsidRDefault="00CF648F" w:rsidP="00CF648F">
      <w:pPr>
        <w:widowControl w:val="0"/>
        <w:autoSpaceDE w:val="0"/>
        <w:autoSpaceDN w:val="0"/>
        <w:ind w:left="116"/>
        <w:jc w:val="center"/>
        <w:rPr>
          <w:sz w:val="18"/>
          <w:szCs w:val="18"/>
          <w:lang w:val="tr-TR"/>
        </w:rPr>
      </w:pPr>
      <w:r w:rsidRPr="00CF648F">
        <w:rPr>
          <w:spacing w:val="-2"/>
          <w:sz w:val="18"/>
          <w:szCs w:val="18"/>
          <w:lang w:val="tr-TR"/>
        </w:rPr>
        <w:t>aydinz4915@itu.edu.tr</w:t>
      </w:r>
      <w:r w:rsidRPr="002C5DD9">
        <w:rPr>
          <w:spacing w:val="-2"/>
          <w:sz w:val="18"/>
          <w:szCs w:val="18"/>
          <w:lang w:val="tr-TR"/>
        </w:rPr>
        <w:t xml:space="preserve">, </w:t>
      </w:r>
      <w:r w:rsidRPr="00CF648F">
        <w:rPr>
          <w:spacing w:val="-2"/>
          <w:sz w:val="18"/>
          <w:szCs w:val="18"/>
          <w:lang w:val="tr-TR"/>
        </w:rPr>
        <w:t>etozdemir@itu.edu.tr</w:t>
      </w:r>
    </w:p>
    <w:p w14:paraId="08122559" w14:textId="77777777" w:rsidR="00CF648F" w:rsidRPr="002C5DD9" w:rsidRDefault="00CF648F" w:rsidP="00CF648F">
      <w:pPr>
        <w:widowControl w:val="0"/>
        <w:autoSpaceDE w:val="0"/>
        <w:autoSpaceDN w:val="0"/>
        <w:ind w:left="116"/>
        <w:rPr>
          <w:sz w:val="18"/>
          <w:szCs w:val="18"/>
          <w:lang w:val="tr-TR"/>
        </w:rPr>
      </w:pPr>
    </w:p>
    <w:p w14:paraId="3B2F7710" w14:textId="77777777" w:rsidR="00CF648F" w:rsidRPr="002C5DD9" w:rsidRDefault="00CF648F" w:rsidP="00CF648F">
      <w:pPr>
        <w:rPr>
          <w:sz w:val="18"/>
          <w:szCs w:val="18"/>
        </w:rPr>
      </w:pPr>
      <w:r w:rsidRPr="002C5DD9">
        <w:rPr>
          <w:sz w:val="18"/>
          <w:szCs w:val="18"/>
          <w:lang w:val="tr-TR"/>
        </w:rPr>
        <w:t>Zeynep Aydın:</w:t>
      </w:r>
      <w:r w:rsidRPr="002C5DD9">
        <w:rPr>
          <w:i/>
          <w:kern w:val="2"/>
          <w:sz w:val="18"/>
          <w:szCs w:val="18"/>
          <w:lang w:val="tr-TR"/>
          <w14:ligatures w14:val="standardContextual"/>
        </w:rPr>
        <w:t xml:space="preserve"> </w:t>
      </w:r>
      <w:hyperlink r:id="rId8" w:history="1">
        <w:r w:rsidRPr="002C5DD9">
          <w:rPr>
            <w:rStyle w:val="Kpr"/>
            <w:kern w:val="2"/>
            <w:sz w:val="18"/>
            <w:szCs w:val="18"/>
            <w:bdr w:val="none" w:sz="0" w:space="0" w:color="auto" w:frame="1"/>
            <w:lang w:val="tr-TR" w:eastAsia="tr-TR"/>
            <w14:ligatures w14:val="standardContextual"/>
          </w:rPr>
          <w:t>https://orcid.org/my-orcid?orcid=0009-0004-3785-6725</w:t>
        </w:r>
      </w:hyperlink>
      <w:r w:rsidRPr="002C5DD9">
        <w:rPr>
          <w:sz w:val="18"/>
          <w:szCs w:val="18"/>
        </w:rPr>
        <w:t xml:space="preserve"> </w:t>
      </w:r>
    </w:p>
    <w:p w14:paraId="26F76F57" w14:textId="77777777" w:rsidR="00CF648F" w:rsidRDefault="00CF648F" w:rsidP="00CF648F">
      <w:r>
        <w:rPr>
          <w:sz w:val="18"/>
          <w:szCs w:val="18"/>
          <w:lang w:val="tr-TR"/>
        </w:rPr>
        <w:t>Aykut Yılmaz</w:t>
      </w:r>
      <w:r w:rsidRPr="002C5DD9">
        <w:rPr>
          <w:sz w:val="18"/>
          <w:szCs w:val="18"/>
          <w:lang w:val="tr-TR"/>
        </w:rPr>
        <w:t xml:space="preserve"> Özdemir:</w:t>
      </w:r>
      <w:r w:rsidRPr="002C5DD9">
        <w:rPr>
          <w:sz w:val="18"/>
          <w:szCs w:val="18"/>
        </w:rPr>
        <w:t xml:space="preserve"> </w:t>
      </w:r>
      <w:hyperlink r:id="rId9" w:history="1">
        <w:r w:rsidRPr="00A757F5">
          <w:rPr>
            <w:rStyle w:val="Kpr"/>
          </w:rPr>
          <w:t>https://orcid.org/0000-0303-4784-1325</w:t>
        </w:r>
      </w:hyperlink>
    </w:p>
    <w:p w14:paraId="6CD09F7F" w14:textId="220A7B4A" w:rsidR="00F72D2C" w:rsidRPr="009724CD" w:rsidRDefault="00F72D2C" w:rsidP="00CF648F">
      <w:pPr>
        <w:rPr>
          <w:bCs/>
          <w:iCs/>
          <w:sz w:val="18"/>
          <w:szCs w:val="18"/>
        </w:rPr>
      </w:pPr>
      <w:r w:rsidRPr="009724CD">
        <w:rPr>
          <w:bCs/>
          <w:iCs/>
          <w:sz w:val="18"/>
          <w:szCs w:val="18"/>
          <w:vertAlign w:val="superscript"/>
        </w:rPr>
        <w:t xml:space="preserve">* </w:t>
      </w:r>
      <w:r w:rsidRPr="009724CD">
        <w:rPr>
          <w:bCs/>
          <w:iCs/>
          <w:sz w:val="18"/>
          <w:szCs w:val="18"/>
        </w:rPr>
        <w:t>Corresponding Author</w:t>
      </w:r>
    </w:p>
    <w:p w14:paraId="2FE8AEFA" w14:textId="7D771DDD" w:rsidR="00CF648F" w:rsidRPr="008B6BC3" w:rsidRDefault="00CF648F" w:rsidP="00CF648F">
      <w:pPr>
        <w:pStyle w:val="NormalWeb"/>
        <w:spacing w:before="240" w:beforeAutospacing="0" w:after="120" w:afterAutospacing="0" w:line="360" w:lineRule="auto"/>
        <w:jc w:val="both"/>
        <w:rPr>
          <w:sz w:val="20"/>
          <w:szCs w:val="20"/>
        </w:rPr>
      </w:pPr>
      <w:r w:rsidRPr="008B6BC3">
        <w:rPr>
          <w:rStyle w:val="Gl"/>
          <w:sz w:val="20"/>
          <w:szCs w:val="20"/>
        </w:rPr>
        <w:t>ABSTRACT</w:t>
      </w:r>
      <w:r w:rsidRPr="008B6BC3">
        <w:rPr>
          <w:sz w:val="20"/>
          <w:szCs w:val="20"/>
        </w:rPr>
        <w:br/>
        <w:t xml:space="preserve">This text should be written in </w:t>
      </w:r>
      <w:r w:rsidRPr="000D2258">
        <w:rPr>
          <w:b/>
          <w:sz w:val="20"/>
          <w:szCs w:val="20"/>
        </w:rPr>
        <w:t>10-point</w:t>
      </w:r>
      <w:r w:rsidRPr="008B6BC3">
        <w:rPr>
          <w:sz w:val="20"/>
          <w:szCs w:val="20"/>
        </w:rPr>
        <w:t xml:space="preserve"> Times New Roman font and must not exceed 250 words. This study investigates southerly windstorms that affected the Marmara Region between 2000 and 2010, focusing on their annual and monthly distribution and frequency. Synoptic-scale patterns associated with these windstorms were also analyzed. It was determined that 98.85% of the windstorms were directly related to frontal systems associated with the approach or passage of low-pressure centers and their corresponding fronts, or with warm sector intrusions.</w:t>
      </w:r>
    </w:p>
    <w:p w14:paraId="0C8D66D2" w14:textId="77777777" w:rsidR="00CF648F" w:rsidRPr="00B519C4" w:rsidRDefault="00CF648F" w:rsidP="00CF648F">
      <w:pPr>
        <w:pStyle w:val="NormalWeb"/>
        <w:rPr>
          <w:sz w:val="18"/>
          <w:szCs w:val="18"/>
        </w:rPr>
      </w:pPr>
      <w:r w:rsidRPr="00B519C4">
        <w:rPr>
          <w:rStyle w:val="Gl"/>
          <w:sz w:val="18"/>
          <w:szCs w:val="18"/>
        </w:rPr>
        <w:t>Keywords:</w:t>
      </w:r>
      <w:r w:rsidRPr="00B519C4">
        <w:rPr>
          <w:sz w:val="18"/>
          <w:szCs w:val="18"/>
        </w:rPr>
        <w:t xml:space="preserve"> Southerly windstorms, Marmara Region, low-pressure systems, frontal systems </w:t>
      </w:r>
      <w:r w:rsidRPr="00B519C4">
        <w:rPr>
          <w:rStyle w:val="Vurgu"/>
          <w:sz w:val="18"/>
          <w:szCs w:val="18"/>
        </w:rPr>
        <w:t>(written in 9-point italic Times New Roman, maximum 4 keywords)</w:t>
      </w:r>
    </w:p>
    <w:p w14:paraId="21019EC0" w14:textId="77777777" w:rsidR="00CF648F" w:rsidRDefault="00CF648F" w:rsidP="008559FF">
      <w:pPr>
        <w:jc w:val="center"/>
        <w:rPr>
          <w:b/>
          <w:bCs/>
          <w:caps/>
          <w:sz w:val="24"/>
          <w:lang w:val="tr-TR"/>
        </w:rPr>
      </w:pPr>
    </w:p>
    <w:p w14:paraId="2CF36023" w14:textId="3352F150" w:rsidR="008559FF" w:rsidRPr="002C5DD9" w:rsidRDefault="004502E7" w:rsidP="008559FF">
      <w:pPr>
        <w:jc w:val="center"/>
        <w:rPr>
          <w:b/>
          <w:bCs/>
          <w:caps/>
          <w:sz w:val="24"/>
          <w:lang w:val="tr-TR"/>
        </w:rPr>
      </w:pPr>
      <w:r w:rsidRPr="002C5DD9">
        <w:rPr>
          <w:b/>
          <w:bCs/>
          <w:caps/>
          <w:sz w:val="24"/>
          <w:lang w:val="tr-TR"/>
        </w:rPr>
        <w:t>Başlık Times New Roman formatında, büyük harfle ve 1</w:t>
      </w:r>
      <w:r w:rsidR="002C5DD9" w:rsidRPr="002C5DD9">
        <w:rPr>
          <w:b/>
          <w:bCs/>
          <w:caps/>
          <w:sz w:val="24"/>
          <w:lang w:val="tr-TR"/>
        </w:rPr>
        <w:t>2</w:t>
      </w:r>
      <w:r w:rsidRPr="002C5DD9">
        <w:rPr>
          <w:b/>
          <w:bCs/>
          <w:caps/>
          <w:sz w:val="24"/>
          <w:lang w:val="tr-TR"/>
        </w:rPr>
        <w:t xml:space="preserve"> Punto </w:t>
      </w:r>
      <w:r w:rsidR="002C5DD9">
        <w:rPr>
          <w:b/>
          <w:bCs/>
          <w:caps/>
          <w:sz w:val="24"/>
          <w:lang w:val="tr-TR"/>
        </w:rPr>
        <w:t xml:space="preserve">KALIN </w:t>
      </w:r>
      <w:r w:rsidRPr="002C5DD9">
        <w:rPr>
          <w:b/>
          <w:bCs/>
          <w:caps/>
          <w:sz w:val="24"/>
          <w:lang w:val="tr-TR"/>
        </w:rPr>
        <w:t xml:space="preserve">olmalı, başlık ortalanmalı </w:t>
      </w:r>
    </w:p>
    <w:p w14:paraId="4603905F" w14:textId="77777777" w:rsidR="00074E13" w:rsidRPr="002C5DD9" w:rsidRDefault="00074E13" w:rsidP="005D1A5B">
      <w:pPr>
        <w:rPr>
          <w:color w:val="0563C1" w:themeColor="hyperlink"/>
          <w:kern w:val="2"/>
          <w:szCs w:val="20"/>
          <w:u w:val="single"/>
          <w:bdr w:val="none" w:sz="0" w:space="0" w:color="auto" w:frame="1"/>
          <w:lang w:val="tr-TR" w:eastAsia="tr-TR"/>
          <w14:ligatures w14:val="standardContextual"/>
        </w:rPr>
      </w:pPr>
    </w:p>
    <w:p w14:paraId="02CD4304" w14:textId="77777777" w:rsidR="00A46D18" w:rsidRPr="002C5DD9" w:rsidRDefault="00A46D18" w:rsidP="00CF648F">
      <w:pPr>
        <w:pStyle w:val="GvdeMetni"/>
        <w:spacing w:before="240" w:after="120"/>
        <w:rPr>
          <w:b/>
          <w:bCs/>
          <w:spacing w:val="-2"/>
          <w:szCs w:val="20"/>
        </w:rPr>
      </w:pPr>
      <w:r w:rsidRPr="002C5DD9">
        <w:rPr>
          <w:b/>
          <w:bCs/>
          <w:spacing w:val="-2"/>
          <w:szCs w:val="20"/>
        </w:rPr>
        <w:t>ÖZET</w:t>
      </w:r>
    </w:p>
    <w:p w14:paraId="20D14B73" w14:textId="50E06149" w:rsidR="00A46D18" w:rsidRPr="002C5DD9" w:rsidRDefault="002C5DD9" w:rsidP="00074E13">
      <w:pPr>
        <w:pStyle w:val="abstract0"/>
        <w:spacing w:line="360" w:lineRule="auto"/>
        <w:jc w:val="both"/>
        <w:rPr>
          <w:rFonts w:ascii="Times New Roman" w:hAnsi="Times New Roman"/>
          <w:szCs w:val="20"/>
          <w:lang w:val="en-US" w:eastAsia="en-GB"/>
        </w:rPr>
      </w:pPr>
      <w:r>
        <w:rPr>
          <w:rFonts w:ascii="Times New Roman" w:hAnsi="Times New Roman"/>
          <w:b/>
          <w:bCs/>
          <w:szCs w:val="20"/>
          <w:lang w:val="tr-TR" w:eastAsia="en-GB"/>
        </w:rPr>
        <w:t>10</w:t>
      </w:r>
      <w:r w:rsidR="00074E13" w:rsidRPr="002C5DD9">
        <w:rPr>
          <w:rFonts w:ascii="Times New Roman" w:hAnsi="Times New Roman"/>
          <w:b/>
          <w:bCs/>
          <w:szCs w:val="20"/>
          <w:lang w:val="tr-TR" w:eastAsia="en-GB"/>
        </w:rPr>
        <w:t xml:space="preserve"> punto </w:t>
      </w:r>
      <w:r w:rsidR="00074E13" w:rsidRPr="002C5DD9">
        <w:rPr>
          <w:rFonts w:ascii="Times New Roman" w:hAnsi="Times New Roman"/>
          <w:szCs w:val="20"/>
          <w:lang w:val="tr-TR" w:eastAsia="en-GB"/>
        </w:rPr>
        <w:t xml:space="preserve">Times New Roman yazı tipinde yazılmalıdır. 250 kelimeyi geçmemelidir. </w:t>
      </w:r>
      <w:r w:rsidR="00A46D18" w:rsidRPr="002C5DD9">
        <w:rPr>
          <w:rFonts w:ascii="Times New Roman" w:hAnsi="Times New Roman"/>
          <w:szCs w:val="20"/>
          <w:lang w:val="en-US" w:eastAsia="en-GB"/>
        </w:rPr>
        <w:t xml:space="preserve">2000-2010 yılları arasında meydana gelen Marmara Bölgesini etkileyen güneyli fırtınalar araştırılarak, yıllara ve aylara göre dağılımları ve frekansları araştırılmıştır. Güneyli fırtınalara neden olan sinoptik ölçekteki durumlar değerlendirilmiştir. Fırtınaların %98.85 alçak basınç merkezi veya merkezlerine bağlı cephe veya cephe sistemlerinin yaklaşması, geçmesi veya sektör yaklaşmalarının sonucu meydana gelen cephesel sistemlerle doğrudan ilgili olduğu tespit edilmiştir. </w:t>
      </w:r>
    </w:p>
    <w:p w14:paraId="68CBDDC2" w14:textId="5D812396" w:rsidR="002C3D99" w:rsidRDefault="008E77FC" w:rsidP="008E77FC">
      <w:pPr>
        <w:rPr>
          <w:i/>
          <w:iCs/>
          <w:sz w:val="18"/>
          <w:szCs w:val="18"/>
          <w:lang w:val="tr-TR"/>
        </w:rPr>
      </w:pPr>
      <w:r w:rsidRPr="00BF0DC7">
        <w:rPr>
          <w:b/>
          <w:bCs/>
          <w:i/>
          <w:iCs/>
          <w:sz w:val="18"/>
          <w:szCs w:val="18"/>
          <w:lang w:val="tr-TR"/>
        </w:rPr>
        <w:t xml:space="preserve">Anahtar kelimeler: 9 punto </w:t>
      </w:r>
      <w:r w:rsidRPr="00BF0DC7">
        <w:rPr>
          <w:i/>
          <w:iCs/>
          <w:sz w:val="18"/>
          <w:szCs w:val="18"/>
          <w:lang w:val="tr-TR"/>
        </w:rPr>
        <w:t>Times New Roman italik olarak yazılmalıdır.</w:t>
      </w:r>
      <w:r w:rsidR="000402CC">
        <w:rPr>
          <w:i/>
          <w:iCs/>
          <w:sz w:val="18"/>
          <w:szCs w:val="18"/>
          <w:lang w:val="tr-TR"/>
        </w:rPr>
        <w:t xml:space="preserve"> (</w:t>
      </w:r>
      <w:r w:rsidR="00452C18">
        <w:rPr>
          <w:i/>
          <w:iCs/>
          <w:sz w:val="18"/>
          <w:szCs w:val="18"/>
          <w:lang w:val="tr-TR"/>
        </w:rPr>
        <w:t>Maksimum 4 adet yazılmalıdır</w:t>
      </w:r>
      <w:r w:rsidR="000402CC">
        <w:rPr>
          <w:i/>
          <w:iCs/>
          <w:sz w:val="18"/>
          <w:szCs w:val="18"/>
          <w:lang w:val="tr-TR"/>
        </w:rPr>
        <w:t>)</w:t>
      </w:r>
    </w:p>
    <w:p w14:paraId="3E3F17C5" w14:textId="157FC38D" w:rsidR="00CF648F" w:rsidRDefault="00CF648F" w:rsidP="008E77FC">
      <w:pPr>
        <w:rPr>
          <w:sz w:val="18"/>
          <w:szCs w:val="18"/>
          <w:lang w:val="tr-TR"/>
        </w:rPr>
      </w:pPr>
    </w:p>
    <w:p w14:paraId="6500EE24" w14:textId="77777777" w:rsidR="008B6BC3" w:rsidRDefault="008B6BC3" w:rsidP="008E77FC">
      <w:pPr>
        <w:rPr>
          <w:sz w:val="18"/>
          <w:szCs w:val="18"/>
          <w:lang w:val="tr-TR"/>
        </w:rPr>
      </w:pPr>
    </w:p>
    <w:p w14:paraId="70075682" w14:textId="2A6ECCE6" w:rsidR="002C3D99" w:rsidRPr="00BF0DC7" w:rsidRDefault="00BF0DC7" w:rsidP="00BF0DC7">
      <w:pPr>
        <w:pStyle w:val="Balk1"/>
        <w:numPr>
          <w:ilvl w:val="0"/>
          <w:numId w:val="0"/>
        </w:numPr>
        <w:rPr>
          <w:rFonts w:cs="Times New Roman"/>
          <w:sz w:val="24"/>
          <w:szCs w:val="24"/>
          <w:lang w:val="tr-TR"/>
        </w:rPr>
      </w:pPr>
      <w:r>
        <w:rPr>
          <w:rFonts w:cs="Times New Roman"/>
          <w:sz w:val="24"/>
          <w:szCs w:val="24"/>
          <w:lang w:val="tr-TR"/>
        </w:rPr>
        <w:t xml:space="preserve">1. </w:t>
      </w:r>
      <w:r w:rsidR="00CF648F">
        <w:rPr>
          <w:rFonts w:cs="Times New Roman"/>
          <w:sz w:val="24"/>
          <w:szCs w:val="24"/>
          <w:lang w:val="tr-TR"/>
        </w:rPr>
        <w:t>INTRODUCTION</w:t>
      </w:r>
    </w:p>
    <w:p w14:paraId="3227E329" w14:textId="6A816454" w:rsidR="00CF648F" w:rsidRPr="00CF648F" w:rsidRDefault="00CF648F" w:rsidP="000D2258">
      <w:pPr>
        <w:suppressAutoHyphens w:val="0"/>
        <w:spacing w:before="100" w:beforeAutospacing="1"/>
        <w:jc w:val="both"/>
        <w:rPr>
          <w:sz w:val="24"/>
          <w:lang w:val="tr-TR" w:eastAsia="tr-TR"/>
        </w:rPr>
      </w:pPr>
      <w:r w:rsidRPr="00CF648F">
        <w:rPr>
          <w:sz w:val="24"/>
          <w:lang w:val="tr-TR" w:eastAsia="tr-TR"/>
        </w:rPr>
        <w:t xml:space="preserve">This is an extended abstract prepared for the </w:t>
      </w:r>
      <w:bookmarkStart w:id="0" w:name="_Hlk201567178"/>
      <w:r w:rsidRPr="00CF648F">
        <w:rPr>
          <w:sz w:val="24"/>
          <w:lang w:val="tr-TR" w:eastAsia="tr-TR"/>
        </w:rPr>
        <w:t>1</w:t>
      </w:r>
      <w:r w:rsidRPr="00CF648F">
        <w:rPr>
          <w:sz w:val="24"/>
          <w:vertAlign w:val="superscript"/>
          <w:lang w:val="tr-TR" w:eastAsia="tr-TR"/>
        </w:rPr>
        <w:t>st</w:t>
      </w:r>
      <w:r w:rsidRPr="00CF648F">
        <w:rPr>
          <w:sz w:val="24"/>
          <w:lang w:val="tr-TR" w:eastAsia="tr-TR"/>
        </w:rPr>
        <w:t xml:space="preserve"> Aviation Meteorology 360° Symposium &amp; Workshop. </w:t>
      </w:r>
      <w:bookmarkEnd w:id="0"/>
      <w:r w:rsidRPr="00CF648F">
        <w:rPr>
          <w:sz w:val="24"/>
          <w:lang w:val="tr-TR" w:eastAsia="tr-TR"/>
        </w:rPr>
        <w:t xml:space="preserve">The language of the Symposium &amp; Workshop will be both Turkish and English. For extended abstracts, the text should be written in </w:t>
      </w:r>
      <w:r w:rsidRPr="00CF648F">
        <w:rPr>
          <w:b/>
          <w:sz w:val="24"/>
          <w:lang w:val="tr-TR" w:eastAsia="tr-TR"/>
        </w:rPr>
        <w:t xml:space="preserve">12-point Times New </w:t>
      </w:r>
      <w:r w:rsidRPr="00CF648F">
        <w:rPr>
          <w:b/>
          <w:sz w:val="24"/>
          <w:lang w:val="tr-TR" w:eastAsia="tr-TR"/>
        </w:rPr>
        <w:lastRenderedPageBreak/>
        <w:t>Roman</w:t>
      </w:r>
      <w:r w:rsidRPr="00CF648F">
        <w:rPr>
          <w:sz w:val="24"/>
          <w:lang w:val="tr-TR" w:eastAsia="tr-TR"/>
        </w:rPr>
        <w:t xml:space="preserve"> font, justified alignment, and single line spacing. However, when writing complex mathematical content, additional spacing between lines may be added to prevent overlapping of superscripts and subscripts.</w:t>
      </w:r>
    </w:p>
    <w:p w14:paraId="3F425C7C" w14:textId="2B8A4CC8" w:rsidR="00CF648F" w:rsidRPr="00CF648F" w:rsidRDefault="00CF648F" w:rsidP="000D2258">
      <w:pPr>
        <w:suppressAutoHyphens w:val="0"/>
        <w:spacing w:after="100" w:afterAutospacing="1"/>
        <w:jc w:val="both"/>
        <w:rPr>
          <w:sz w:val="24"/>
          <w:lang w:val="tr-TR" w:eastAsia="tr-TR"/>
        </w:rPr>
      </w:pPr>
      <w:r w:rsidRPr="00CF648F">
        <w:rPr>
          <w:sz w:val="24"/>
          <w:lang w:val="tr-TR" w:eastAsia="tr-TR"/>
        </w:rPr>
        <w:t xml:space="preserve">Paragraphs should be separated by a blank line. One line space should be left before the title. All titles should be written in 12-point Times New Roman bold font. First-level </w:t>
      </w:r>
      <w:r w:rsidR="003E1842">
        <w:rPr>
          <w:sz w:val="24"/>
          <w:lang w:val="tr-TR" w:eastAsia="tr-TR"/>
        </w:rPr>
        <w:t>headings</w:t>
      </w:r>
      <w:r w:rsidRPr="00CF648F">
        <w:rPr>
          <w:sz w:val="24"/>
          <w:lang w:val="tr-TR" w:eastAsia="tr-TR"/>
        </w:rPr>
        <w:t xml:space="preserve"> should be written in </w:t>
      </w:r>
      <w:r>
        <w:rPr>
          <w:sz w:val="24"/>
          <w:lang w:val="tr-TR" w:eastAsia="tr-TR"/>
        </w:rPr>
        <w:t>“</w:t>
      </w:r>
      <w:r w:rsidRPr="00CF648F">
        <w:rPr>
          <w:bCs/>
          <w:sz w:val="24"/>
          <w:lang w:val="tr-TR" w:eastAsia="tr-TR"/>
        </w:rPr>
        <w:t>uppercase letters</w:t>
      </w:r>
      <w:r>
        <w:rPr>
          <w:bCs/>
          <w:sz w:val="24"/>
          <w:lang w:val="tr-TR" w:eastAsia="tr-TR"/>
        </w:rPr>
        <w:t>”</w:t>
      </w:r>
      <w:r w:rsidRPr="00CF648F">
        <w:rPr>
          <w:sz w:val="24"/>
          <w:lang w:val="tr-TR" w:eastAsia="tr-TR"/>
        </w:rPr>
        <w:t xml:space="preserve">, second-level </w:t>
      </w:r>
      <w:r w:rsidR="003E1842">
        <w:rPr>
          <w:sz w:val="24"/>
          <w:lang w:val="tr-TR" w:eastAsia="tr-TR"/>
        </w:rPr>
        <w:t>headings</w:t>
      </w:r>
      <w:r w:rsidRPr="00CF648F">
        <w:rPr>
          <w:sz w:val="24"/>
          <w:lang w:val="tr-TR" w:eastAsia="tr-TR"/>
        </w:rPr>
        <w:t xml:space="preserve"> in </w:t>
      </w:r>
      <w:r w:rsidR="003E1842">
        <w:rPr>
          <w:sz w:val="24"/>
          <w:lang w:val="tr-TR" w:eastAsia="tr-TR"/>
        </w:rPr>
        <w:t>“</w:t>
      </w:r>
      <w:r w:rsidRPr="003E1842">
        <w:rPr>
          <w:bCs/>
          <w:sz w:val="24"/>
          <w:lang w:val="tr-TR" w:eastAsia="tr-TR"/>
        </w:rPr>
        <w:t>sentence case</w:t>
      </w:r>
      <w:r w:rsidR="003E1842">
        <w:rPr>
          <w:sz w:val="24"/>
          <w:lang w:val="tr-TR" w:eastAsia="tr-TR"/>
        </w:rPr>
        <w:t>”</w:t>
      </w:r>
      <w:r w:rsidRPr="00CF648F">
        <w:rPr>
          <w:sz w:val="24"/>
          <w:lang w:val="tr-TR" w:eastAsia="tr-TR"/>
        </w:rPr>
        <w:t>, and if there are third-level or lower-level headings, they should be written in normal case (note that third-level or lower headings should not appear in the introduction, so no further numbering should be used).</w:t>
      </w:r>
    </w:p>
    <w:p w14:paraId="0F6DAFB9" w14:textId="77777777" w:rsidR="003E1842" w:rsidRPr="003E1842" w:rsidRDefault="003E1842" w:rsidP="003E1842">
      <w:pPr>
        <w:pStyle w:val="GvdeMetni"/>
        <w:rPr>
          <w:bCs/>
          <w:sz w:val="24"/>
          <w:lang w:val="tr-TR"/>
        </w:rPr>
      </w:pPr>
      <w:r w:rsidRPr="000D2258">
        <w:rPr>
          <w:b/>
          <w:bCs/>
          <w:sz w:val="24"/>
          <w:lang w:val="tr-TR"/>
        </w:rPr>
        <w:t xml:space="preserve">Extended abstracts </w:t>
      </w:r>
      <w:r w:rsidRPr="003E1842">
        <w:rPr>
          <w:bCs/>
          <w:sz w:val="24"/>
          <w:lang w:val="tr-TR"/>
        </w:rPr>
        <w:t xml:space="preserve">must not exceed </w:t>
      </w:r>
      <w:r w:rsidRPr="000D2258">
        <w:rPr>
          <w:b/>
          <w:bCs/>
          <w:sz w:val="24"/>
          <w:lang w:val="tr-TR"/>
        </w:rPr>
        <w:t>5 pages</w:t>
      </w:r>
      <w:r w:rsidRPr="003E1842">
        <w:rPr>
          <w:bCs/>
          <w:sz w:val="24"/>
          <w:lang w:val="tr-TR"/>
        </w:rPr>
        <w:t xml:space="preserve">. </w:t>
      </w:r>
      <w:r w:rsidRPr="000D2258">
        <w:rPr>
          <w:b/>
          <w:bCs/>
          <w:sz w:val="24"/>
          <w:lang w:val="tr-TR"/>
        </w:rPr>
        <w:t>Full papers</w:t>
      </w:r>
      <w:r w:rsidRPr="003E1842">
        <w:rPr>
          <w:bCs/>
          <w:sz w:val="24"/>
          <w:lang w:val="tr-TR"/>
        </w:rPr>
        <w:t xml:space="preserve"> must not exceed </w:t>
      </w:r>
      <w:r w:rsidRPr="000D2258">
        <w:rPr>
          <w:b/>
          <w:bCs/>
          <w:sz w:val="24"/>
          <w:lang w:val="tr-TR"/>
        </w:rPr>
        <w:t>12 pages.</w:t>
      </w:r>
    </w:p>
    <w:p w14:paraId="6A78CD97" w14:textId="3470018B" w:rsidR="008E77FC" w:rsidRPr="00BF0DC7" w:rsidRDefault="008E77FC">
      <w:pPr>
        <w:pStyle w:val="GvdeMetni"/>
        <w:rPr>
          <w:sz w:val="24"/>
          <w:szCs w:val="24"/>
          <w:lang w:val="tr-TR"/>
        </w:rPr>
      </w:pPr>
    </w:p>
    <w:p w14:paraId="471A0DAB" w14:textId="00D2DC5F" w:rsidR="003E1842" w:rsidRDefault="003E1842" w:rsidP="000D2258">
      <w:pPr>
        <w:suppressAutoHyphens w:val="0"/>
        <w:jc w:val="both"/>
        <w:rPr>
          <w:sz w:val="24"/>
          <w:lang w:val="tr-TR" w:eastAsia="tr-TR"/>
        </w:rPr>
      </w:pPr>
      <w:r w:rsidRPr="003E1842">
        <w:rPr>
          <w:b/>
          <w:bCs/>
          <w:sz w:val="24"/>
          <w:lang w:val="tr-TR" w:eastAsia="tr-TR"/>
        </w:rPr>
        <w:t>TEXT FORMAT</w:t>
      </w:r>
      <w:r w:rsidRPr="003E1842">
        <w:rPr>
          <w:sz w:val="24"/>
          <w:lang w:val="tr-TR" w:eastAsia="tr-TR"/>
        </w:rPr>
        <w:br/>
        <w:t>The main text should be written on A4 paper with margins of 3.5 cm at the top and bottom, and 3.0 cm on the left and right. Line spacing should be single, and the text should be justified.</w:t>
      </w:r>
    </w:p>
    <w:p w14:paraId="345CD758" w14:textId="77777777" w:rsidR="000D2258" w:rsidRPr="003E1842" w:rsidRDefault="000D2258" w:rsidP="000D2258">
      <w:pPr>
        <w:suppressAutoHyphens w:val="0"/>
        <w:jc w:val="both"/>
        <w:rPr>
          <w:sz w:val="24"/>
          <w:lang w:val="tr-TR" w:eastAsia="tr-TR"/>
        </w:rPr>
      </w:pPr>
    </w:p>
    <w:p w14:paraId="4D8B28C5" w14:textId="56A4CD01" w:rsidR="003E1842" w:rsidRDefault="003E1842" w:rsidP="000D2258">
      <w:pPr>
        <w:suppressAutoHyphens w:val="0"/>
        <w:jc w:val="both"/>
        <w:rPr>
          <w:sz w:val="24"/>
          <w:lang w:val="tr-TR" w:eastAsia="tr-TR"/>
        </w:rPr>
      </w:pPr>
      <w:r w:rsidRPr="003E1842">
        <w:rPr>
          <w:b/>
          <w:bCs/>
          <w:sz w:val="24"/>
          <w:lang w:val="tr-TR" w:eastAsia="tr-TR"/>
        </w:rPr>
        <w:t>1.1 Page Numbering</w:t>
      </w:r>
      <w:r w:rsidRPr="003E1842">
        <w:rPr>
          <w:sz w:val="24"/>
          <w:lang w:val="tr-TR" w:eastAsia="tr-TR"/>
        </w:rPr>
        <w:br/>
        <w:t>Page numbers should not be included.</w:t>
      </w:r>
    </w:p>
    <w:p w14:paraId="0B597DC7" w14:textId="77777777" w:rsidR="000D2258" w:rsidRPr="003E1842" w:rsidRDefault="000D2258" w:rsidP="000D2258">
      <w:pPr>
        <w:suppressAutoHyphens w:val="0"/>
        <w:jc w:val="both"/>
        <w:rPr>
          <w:sz w:val="24"/>
          <w:lang w:val="tr-TR" w:eastAsia="tr-TR"/>
        </w:rPr>
      </w:pPr>
    </w:p>
    <w:p w14:paraId="612D1529" w14:textId="72765750" w:rsidR="003E1842" w:rsidRDefault="003E1842" w:rsidP="000D2258">
      <w:pPr>
        <w:suppressAutoHyphens w:val="0"/>
        <w:jc w:val="both"/>
        <w:rPr>
          <w:sz w:val="24"/>
          <w:lang w:val="tr-TR" w:eastAsia="tr-TR"/>
        </w:rPr>
      </w:pPr>
      <w:r w:rsidRPr="003E1842">
        <w:rPr>
          <w:b/>
          <w:bCs/>
          <w:sz w:val="24"/>
          <w:lang w:val="tr-TR" w:eastAsia="tr-TR"/>
        </w:rPr>
        <w:t>2. FIGURES, EQUATIONS, AND TABLES</w:t>
      </w:r>
      <w:r w:rsidRPr="003E1842">
        <w:rPr>
          <w:sz w:val="24"/>
          <w:lang w:val="tr-TR" w:eastAsia="tr-TR"/>
        </w:rPr>
        <w:br/>
        <w:t>The following paragraph provides a brief explanation of the formatting for figures, equations, and tables.</w:t>
      </w:r>
    </w:p>
    <w:p w14:paraId="4100830F" w14:textId="77777777" w:rsidR="000D2258" w:rsidRPr="003E1842" w:rsidRDefault="000D2258" w:rsidP="000D2258">
      <w:pPr>
        <w:suppressAutoHyphens w:val="0"/>
        <w:jc w:val="both"/>
        <w:rPr>
          <w:sz w:val="24"/>
          <w:lang w:val="tr-TR" w:eastAsia="tr-TR"/>
        </w:rPr>
      </w:pPr>
    </w:p>
    <w:p w14:paraId="1991B491" w14:textId="77777777" w:rsidR="003E1842" w:rsidRPr="003E1842" w:rsidRDefault="003E1842" w:rsidP="000D2258">
      <w:pPr>
        <w:suppressAutoHyphens w:val="0"/>
        <w:spacing w:after="100" w:afterAutospacing="1"/>
        <w:jc w:val="both"/>
        <w:rPr>
          <w:sz w:val="24"/>
          <w:lang w:val="tr-TR" w:eastAsia="tr-TR"/>
        </w:rPr>
      </w:pPr>
      <w:r w:rsidRPr="003E1842">
        <w:rPr>
          <w:b/>
          <w:bCs/>
          <w:sz w:val="24"/>
          <w:lang w:val="tr-TR" w:eastAsia="tr-TR"/>
        </w:rPr>
        <w:t>2.1 Figures</w:t>
      </w:r>
      <w:r w:rsidRPr="003E1842">
        <w:rPr>
          <w:sz w:val="24"/>
          <w:lang w:val="tr-TR" w:eastAsia="tr-TR"/>
        </w:rPr>
        <w:br/>
        <w:t xml:space="preserve">All drawings, whether diagrams or photographs, are referred to as Figures and should be numbered sequentially. All figures must be placed appropriately within the text. Captions should be placed </w:t>
      </w:r>
      <w:r w:rsidRPr="003E1842">
        <w:rPr>
          <w:b/>
          <w:bCs/>
          <w:sz w:val="24"/>
          <w:lang w:val="tr-TR" w:eastAsia="tr-TR"/>
        </w:rPr>
        <w:t>below</w:t>
      </w:r>
      <w:r w:rsidRPr="003E1842">
        <w:rPr>
          <w:sz w:val="24"/>
          <w:lang w:val="tr-TR" w:eastAsia="tr-TR"/>
        </w:rPr>
        <w:t xml:space="preserve"> the figures and written in </w:t>
      </w:r>
      <w:r w:rsidRPr="0098670F">
        <w:rPr>
          <w:bCs/>
          <w:sz w:val="24"/>
          <w:lang w:val="tr-TR" w:eastAsia="tr-TR"/>
        </w:rPr>
        <w:t>10-point Times New Roman</w:t>
      </w:r>
      <w:r w:rsidRPr="003E1842">
        <w:rPr>
          <w:sz w:val="24"/>
          <w:lang w:val="tr-TR" w:eastAsia="tr-TR"/>
        </w:rPr>
        <w:t xml:space="preserve"> font. Additionally, figures must have a </w:t>
      </w:r>
      <w:r w:rsidRPr="0098670F">
        <w:rPr>
          <w:bCs/>
          <w:sz w:val="24"/>
          <w:lang w:val="tr-TR" w:eastAsia="tr-TR"/>
        </w:rPr>
        <w:t>minimum resolution of 200 dpi</w:t>
      </w:r>
      <w:r w:rsidRPr="003E1842">
        <w:rPr>
          <w:sz w:val="24"/>
          <w:lang w:val="tr-TR" w:eastAsia="tr-TR"/>
        </w:rPr>
        <w:t xml:space="preserve"> and should </w:t>
      </w:r>
      <w:r w:rsidRPr="0098670F">
        <w:rPr>
          <w:bCs/>
          <w:sz w:val="24"/>
          <w:lang w:val="tr-TR" w:eastAsia="tr-TR"/>
        </w:rPr>
        <w:t>not exceed a width of 14.7 cm</w:t>
      </w:r>
      <w:r w:rsidRPr="003E1842">
        <w:rPr>
          <w:sz w:val="24"/>
          <w:lang w:val="tr-TR" w:eastAsia="tr-TR"/>
        </w:rPr>
        <w:t>.</w:t>
      </w:r>
    </w:p>
    <w:p w14:paraId="27CEF3C2" w14:textId="765B2E38" w:rsidR="002C3D99" w:rsidRDefault="002C3D99">
      <w:pPr>
        <w:pStyle w:val="GvdeMetni"/>
        <w:rPr>
          <w:sz w:val="24"/>
          <w:szCs w:val="24"/>
          <w:lang w:val="tr-TR"/>
        </w:rPr>
      </w:pPr>
    </w:p>
    <w:p w14:paraId="3BF5739A" w14:textId="77777777" w:rsidR="00594793" w:rsidRPr="00BF0DC7" w:rsidRDefault="00594793">
      <w:pPr>
        <w:pStyle w:val="GvdeMetni"/>
        <w:rPr>
          <w:sz w:val="24"/>
          <w:szCs w:val="24"/>
          <w:lang w:val="tr-TR"/>
        </w:rPr>
      </w:pPr>
    </w:p>
    <w:tbl>
      <w:tblPr>
        <w:tblW w:w="0" w:type="auto"/>
        <w:tblLayout w:type="fixed"/>
        <w:tblLook w:val="0000" w:firstRow="0" w:lastRow="0" w:firstColumn="0" w:lastColumn="0" w:noHBand="0" w:noVBand="0"/>
      </w:tblPr>
      <w:tblGrid>
        <w:gridCol w:w="8719"/>
      </w:tblGrid>
      <w:tr w:rsidR="002C3D99" w:rsidRPr="00BF0DC7" w14:paraId="0BB93978" w14:textId="77777777">
        <w:tc>
          <w:tcPr>
            <w:tcW w:w="8719" w:type="dxa"/>
          </w:tcPr>
          <w:p w14:paraId="081794EF" w14:textId="59AF1030" w:rsidR="002C3D99" w:rsidRPr="00BF0DC7" w:rsidRDefault="00DA370E" w:rsidP="003E1842">
            <w:pPr>
              <w:pStyle w:val="GvdeMetni"/>
              <w:jc w:val="center"/>
              <w:rPr>
                <w:sz w:val="24"/>
                <w:szCs w:val="24"/>
                <w:lang w:val="tr-TR"/>
              </w:rPr>
            </w:pPr>
            <w:r w:rsidRPr="00BF0DC7">
              <w:rPr>
                <w:noProof/>
                <w:sz w:val="24"/>
                <w:szCs w:val="24"/>
                <w:lang w:val="tr-TR" w:eastAsia="en-US"/>
              </w:rPr>
              <w:drawing>
                <wp:inline distT="0" distB="0" distL="0" distR="0" wp14:anchorId="0A4B2937" wp14:editId="0078D9AF">
                  <wp:extent cx="423862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625" cy="1733550"/>
                          </a:xfrm>
                          <a:prstGeom prst="rect">
                            <a:avLst/>
                          </a:prstGeom>
                          <a:solidFill>
                            <a:srgbClr val="FFFFFF"/>
                          </a:solidFill>
                          <a:ln>
                            <a:noFill/>
                          </a:ln>
                        </pic:spPr>
                      </pic:pic>
                    </a:graphicData>
                  </a:graphic>
                </wp:inline>
              </w:drawing>
            </w:r>
          </w:p>
        </w:tc>
      </w:tr>
    </w:tbl>
    <w:p w14:paraId="36AA394B" w14:textId="77777777" w:rsidR="003E1842" w:rsidRPr="003E1842" w:rsidRDefault="003E1842" w:rsidP="003E1842">
      <w:pPr>
        <w:pStyle w:val="NormalWeb"/>
        <w:jc w:val="center"/>
        <w:rPr>
          <w:b/>
          <w:sz w:val="20"/>
        </w:rPr>
      </w:pPr>
      <w:r w:rsidRPr="003E1842">
        <w:rPr>
          <w:rStyle w:val="Gl"/>
          <w:sz w:val="20"/>
        </w:rPr>
        <w:t>Figure 1.</w:t>
      </w:r>
      <w:r w:rsidRPr="003E1842">
        <w:rPr>
          <w:sz w:val="20"/>
        </w:rPr>
        <w:t xml:space="preserve"> Numbering should continue consecutively throughout the entire document. Captions should be written in </w:t>
      </w:r>
      <w:r w:rsidRPr="003E1842">
        <w:rPr>
          <w:rStyle w:val="Gl"/>
          <w:sz w:val="20"/>
        </w:rPr>
        <w:t xml:space="preserve">10-point </w:t>
      </w:r>
      <w:r w:rsidRPr="003E1842">
        <w:rPr>
          <w:rStyle w:val="Gl"/>
          <w:b w:val="0"/>
          <w:sz w:val="20"/>
        </w:rPr>
        <w:t>Times New Roman</w:t>
      </w:r>
      <w:r w:rsidRPr="003E1842">
        <w:rPr>
          <w:sz w:val="20"/>
        </w:rPr>
        <w:t xml:space="preserve"> and placed </w:t>
      </w:r>
      <w:r w:rsidRPr="003E1842">
        <w:rPr>
          <w:rStyle w:val="Gl"/>
          <w:b w:val="0"/>
          <w:sz w:val="20"/>
        </w:rPr>
        <w:t>below the figures</w:t>
      </w:r>
      <w:r w:rsidRPr="003E1842">
        <w:rPr>
          <w:b/>
          <w:sz w:val="20"/>
        </w:rPr>
        <w:t>.</w:t>
      </w:r>
    </w:p>
    <w:p w14:paraId="6166E7BF" w14:textId="43D5753C" w:rsidR="00A84CF0" w:rsidRDefault="00A84CF0">
      <w:pPr>
        <w:pStyle w:val="GvdeMetni"/>
        <w:rPr>
          <w:sz w:val="24"/>
          <w:szCs w:val="24"/>
          <w:lang w:val="tr-TR"/>
        </w:rPr>
      </w:pPr>
    </w:p>
    <w:p w14:paraId="4C858E87" w14:textId="77777777" w:rsidR="002B1E46" w:rsidRDefault="002B1E46" w:rsidP="0098670F">
      <w:pPr>
        <w:suppressAutoHyphens w:val="0"/>
        <w:rPr>
          <w:b/>
          <w:bCs/>
          <w:sz w:val="24"/>
          <w:lang w:val="tr-TR" w:eastAsia="tr-TR"/>
        </w:rPr>
      </w:pPr>
    </w:p>
    <w:p w14:paraId="1FF56E48" w14:textId="16C2DC2E" w:rsidR="00A84CF0" w:rsidRPr="00A84CF0" w:rsidRDefault="00A84CF0" w:rsidP="0098670F">
      <w:pPr>
        <w:suppressAutoHyphens w:val="0"/>
        <w:rPr>
          <w:sz w:val="24"/>
          <w:lang w:val="tr-TR" w:eastAsia="tr-TR"/>
        </w:rPr>
      </w:pPr>
      <w:r w:rsidRPr="00A84CF0">
        <w:rPr>
          <w:b/>
          <w:bCs/>
          <w:sz w:val="24"/>
          <w:lang w:val="tr-TR" w:eastAsia="tr-TR"/>
        </w:rPr>
        <w:lastRenderedPageBreak/>
        <w:t>2.2 Tables</w:t>
      </w:r>
      <w:r w:rsidRPr="00A84CF0">
        <w:rPr>
          <w:sz w:val="24"/>
          <w:lang w:val="tr-TR" w:eastAsia="tr-TR"/>
        </w:rPr>
        <w:br/>
        <w:t xml:space="preserve">Tables should be presented in the format shown in Table 1. Their layout should remain consistent throughout the document. Captions should be written in </w:t>
      </w:r>
      <w:r w:rsidRPr="00A84CF0">
        <w:rPr>
          <w:b/>
          <w:bCs/>
          <w:sz w:val="24"/>
          <w:lang w:val="tr-TR" w:eastAsia="tr-TR"/>
        </w:rPr>
        <w:t>10-point Times New Roman</w:t>
      </w:r>
      <w:r w:rsidRPr="00A84CF0">
        <w:rPr>
          <w:sz w:val="24"/>
          <w:lang w:val="tr-TR" w:eastAsia="tr-TR"/>
        </w:rPr>
        <w:t xml:space="preserve"> and placed </w:t>
      </w:r>
      <w:r w:rsidRPr="00A84CF0">
        <w:rPr>
          <w:bCs/>
          <w:sz w:val="24"/>
          <w:lang w:val="tr-TR" w:eastAsia="tr-TR"/>
        </w:rPr>
        <w:t>above the tables</w:t>
      </w:r>
      <w:r w:rsidRPr="00A84CF0">
        <w:rPr>
          <w:sz w:val="24"/>
          <w:lang w:val="tr-TR" w:eastAsia="tr-TR"/>
        </w:rPr>
        <w:t xml:space="preserve">. The table content should be in </w:t>
      </w:r>
      <w:r w:rsidRPr="00A84CF0">
        <w:rPr>
          <w:b/>
          <w:bCs/>
          <w:sz w:val="24"/>
          <w:lang w:val="tr-TR" w:eastAsia="tr-TR"/>
        </w:rPr>
        <w:t>10-point Times New Roman</w:t>
      </w:r>
      <w:r w:rsidRPr="00A84CF0">
        <w:rPr>
          <w:sz w:val="24"/>
          <w:lang w:val="tr-TR" w:eastAsia="tr-TR"/>
        </w:rPr>
        <w:t xml:space="preserve">, </w:t>
      </w:r>
      <w:r>
        <w:rPr>
          <w:sz w:val="24"/>
          <w:lang w:val="tr-TR" w:eastAsia="tr-TR"/>
        </w:rPr>
        <w:t>(</w:t>
      </w:r>
      <w:r w:rsidRPr="00A84CF0">
        <w:rPr>
          <w:sz w:val="24"/>
          <w:lang w:val="tr-TR" w:eastAsia="tr-TR"/>
        </w:rPr>
        <w:t xml:space="preserve">or </w:t>
      </w:r>
      <w:r w:rsidRPr="00A84CF0">
        <w:rPr>
          <w:b/>
          <w:bCs/>
          <w:sz w:val="24"/>
          <w:lang w:val="tr-TR" w:eastAsia="tr-TR"/>
        </w:rPr>
        <w:t>8-point Times New Roman</w:t>
      </w:r>
      <w:r w:rsidRPr="00A84CF0">
        <w:rPr>
          <w:sz w:val="24"/>
          <w:lang w:val="tr-TR" w:eastAsia="tr-TR"/>
        </w:rPr>
        <w:t xml:space="preserve"> if needed to fit the data</w:t>
      </w:r>
      <w:r>
        <w:rPr>
          <w:sz w:val="24"/>
          <w:lang w:val="tr-TR" w:eastAsia="tr-TR"/>
        </w:rPr>
        <w:t>)</w:t>
      </w:r>
      <w:r w:rsidRPr="00A84CF0">
        <w:rPr>
          <w:sz w:val="24"/>
          <w:lang w:val="tr-TR" w:eastAsia="tr-TR"/>
        </w:rPr>
        <w:t>.</w:t>
      </w:r>
    </w:p>
    <w:p w14:paraId="1FF57E56" w14:textId="77777777" w:rsidR="00A84CF0" w:rsidRPr="00A84CF0" w:rsidRDefault="00A84CF0" w:rsidP="0098670F">
      <w:pPr>
        <w:pStyle w:val="NormalWeb"/>
        <w:spacing w:before="60" w:beforeAutospacing="0" w:after="0" w:afterAutospacing="0"/>
        <w:jc w:val="center"/>
        <w:rPr>
          <w:sz w:val="20"/>
        </w:rPr>
      </w:pPr>
      <w:r w:rsidRPr="00A84CF0">
        <w:rPr>
          <w:rStyle w:val="Gl"/>
          <w:sz w:val="20"/>
        </w:rPr>
        <w:t xml:space="preserve">Table 1. </w:t>
      </w:r>
      <w:r w:rsidRPr="00A84CF0">
        <w:rPr>
          <w:rStyle w:val="Gl"/>
          <w:b w:val="0"/>
          <w:sz w:val="20"/>
        </w:rPr>
        <w:t>Example of a table</w:t>
      </w:r>
    </w:p>
    <w:tbl>
      <w:tblPr>
        <w:tblW w:w="8485" w:type="dxa"/>
        <w:tblInd w:w="108" w:type="dxa"/>
        <w:tblLayout w:type="fixed"/>
        <w:tblLook w:val="0000" w:firstRow="0" w:lastRow="0" w:firstColumn="0" w:lastColumn="0" w:noHBand="0" w:noVBand="0"/>
      </w:tblPr>
      <w:tblGrid>
        <w:gridCol w:w="803"/>
        <w:gridCol w:w="809"/>
        <w:gridCol w:w="698"/>
        <w:gridCol w:w="984"/>
        <w:gridCol w:w="1434"/>
        <w:gridCol w:w="1858"/>
        <w:gridCol w:w="1899"/>
      </w:tblGrid>
      <w:tr w:rsidR="002C3D99" w:rsidRPr="00594793" w14:paraId="23AB5ACE" w14:textId="77777777" w:rsidTr="00A84CF0">
        <w:trPr>
          <w:cantSplit/>
          <w:trHeight w:val="382"/>
        </w:trPr>
        <w:tc>
          <w:tcPr>
            <w:tcW w:w="803" w:type="dxa"/>
            <w:tcBorders>
              <w:top w:val="single" w:sz="4" w:space="0" w:color="000000"/>
              <w:bottom w:val="single" w:sz="4" w:space="0" w:color="000000"/>
            </w:tcBorders>
          </w:tcPr>
          <w:p w14:paraId="1C9044FB" w14:textId="77777777" w:rsidR="002C3D99" w:rsidRPr="00594793" w:rsidRDefault="002C3D99">
            <w:pPr>
              <w:pStyle w:val="TableContents"/>
              <w:rPr>
                <w:rFonts w:ascii="Times New Roman" w:hAnsi="Times New Roman" w:cs="Times New Roman"/>
                <w:b/>
                <w:szCs w:val="18"/>
                <w:lang w:val="tr-TR"/>
              </w:rPr>
            </w:pPr>
            <w:r w:rsidRPr="00594793">
              <w:rPr>
                <w:rFonts w:ascii="Times New Roman" w:hAnsi="Times New Roman" w:cs="Times New Roman"/>
                <w:b/>
                <w:szCs w:val="18"/>
                <w:lang w:val="tr-TR"/>
              </w:rPr>
              <w:t>Station</w:t>
            </w:r>
          </w:p>
        </w:tc>
        <w:tc>
          <w:tcPr>
            <w:tcW w:w="809" w:type="dxa"/>
            <w:tcBorders>
              <w:top w:val="single" w:sz="4" w:space="0" w:color="000000"/>
              <w:bottom w:val="single" w:sz="4" w:space="0" w:color="000000"/>
            </w:tcBorders>
          </w:tcPr>
          <w:p w14:paraId="65B2FFB6"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X</w:t>
            </w:r>
          </w:p>
          <w:p w14:paraId="1F08E19B"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(m)</w:t>
            </w:r>
          </w:p>
        </w:tc>
        <w:tc>
          <w:tcPr>
            <w:tcW w:w="698" w:type="dxa"/>
            <w:tcBorders>
              <w:top w:val="single" w:sz="4" w:space="0" w:color="000000"/>
              <w:bottom w:val="single" w:sz="4" w:space="0" w:color="000000"/>
            </w:tcBorders>
          </w:tcPr>
          <w:p w14:paraId="32C3ADC8"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Y</w:t>
            </w:r>
          </w:p>
          <w:p w14:paraId="17EEAD85"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(m)</w:t>
            </w:r>
          </w:p>
        </w:tc>
        <w:tc>
          <w:tcPr>
            <w:tcW w:w="984" w:type="dxa"/>
            <w:tcBorders>
              <w:top w:val="single" w:sz="4" w:space="0" w:color="000000"/>
              <w:bottom w:val="single" w:sz="4" w:space="0" w:color="000000"/>
            </w:tcBorders>
          </w:tcPr>
          <w:p w14:paraId="3A839551"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Time</w:t>
            </w:r>
          </w:p>
          <w:p w14:paraId="650421A2" w14:textId="79B60A32"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t>
            </w:r>
            <w:r w:rsidR="0055451F">
              <w:rPr>
                <w:rFonts w:ascii="Times New Roman" w:hAnsi="Times New Roman" w:cs="Times New Roman"/>
                <w:b/>
                <w:sz w:val="20"/>
                <w:szCs w:val="20"/>
                <w:lang w:val="tr-TR"/>
              </w:rPr>
              <w:t>UTC</w:t>
            </w:r>
            <w:r w:rsidRPr="00594793">
              <w:rPr>
                <w:rFonts w:ascii="Times New Roman" w:hAnsi="Times New Roman" w:cs="Times New Roman"/>
                <w:b/>
                <w:sz w:val="20"/>
                <w:szCs w:val="20"/>
                <w:lang w:val="tr-TR"/>
              </w:rPr>
              <w:t>)</w:t>
            </w:r>
          </w:p>
        </w:tc>
        <w:tc>
          <w:tcPr>
            <w:tcW w:w="1434" w:type="dxa"/>
            <w:tcBorders>
              <w:top w:val="single" w:sz="4" w:space="0" w:color="000000"/>
              <w:bottom w:val="single" w:sz="4" w:space="0" w:color="000000"/>
            </w:tcBorders>
          </w:tcPr>
          <w:p w14:paraId="6A8B428E" w14:textId="01ACEB2D" w:rsidR="002C3D99" w:rsidRPr="00594793" w:rsidRDefault="00A84CF0">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Wind Speed</w:t>
            </w:r>
          </w:p>
          <w:p w14:paraId="7B852157" w14:textId="57B229A8"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(ms</w:t>
            </w:r>
            <w:r w:rsidR="0055451F">
              <w:rPr>
                <w:rFonts w:ascii="Times New Roman" w:hAnsi="Times New Roman" w:cs="Times New Roman"/>
                <w:b/>
                <w:sz w:val="20"/>
                <w:szCs w:val="20"/>
                <w:vertAlign w:val="superscript"/>
                <w:lang w:val="tr-TR"/>
              </w:rPr>
              <w:t>-1</w:t>
            </w:r>
            <w:r w:rsidRPr="00594793">
              <w:rPr>
                <w:rFonts w:ascii="Times New Roman" w:hAnsi="Times New Roman" w:cs="Times New Roman"/>
                <w:b/>
                <w:sz w:val="20"/>
                <w:szCs w:val="20"/>
                <w:lang w:val="tr-TR"/>
              </w:rPr>
              <w:t>)</w:t>
            </w:r>
          </w:p>
        </w:tc>
        <w:tc>
          <w:tcPr>
            <w:tcW w:w="1858" w:type="dxa"/>
            <w:tcBorders>
              <w:top w:val="single" w:sz="4" w:space="0" w:color="000000"/>
              <w:bottom w:val="single" w:sz="4" w:space="0" w:color="000000"/>
            </w:tcBorders>
          </w:tcPr>
          <w:p w14:paraId="3D5D0C0E" w14:textId="04F7F5F2" w:rsidR="002C3D99" w:rsidRPr="00594793" w:rsidRDefault="00A84CF0">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Wind Direction</w:t>
            </w:r>
          </w:p>
          <w:p w14:paraId="35A43BE5"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(degrees)</w:t>
            </w:r>
          </w:p>
        </w:tc>
        <w:tc>
          <w:tcPr>
            <w:tcW w:w="1899" w:type="dxa"/>
            <w:tcBorders>
              <w:top w:val="single" w:sz="4" w:space="0" w:color="000000"/>
              <w:bottom w:val="single" w:sz="4" w:space="0" w:color="000000"/>
            </w:tcBorders>
          </w:tcPr>
          <w:p w14:paraId="789A8C9D"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SO</w:t>
            </w:r>
            <w:r w:rsidRPr="00A84CF0">
              <w:rPr>
                <w:rFonts w:ascii="Times New Roman" w:hAnsi="Times New Roman" w:cs="Times New Roman"/>
                <w:b/>
                <w:sz w:val="20"/>
                <w:szCs w:val="20"/>
                <w:vertAlign w:val="subscript"/>
                <w:lang w:val="tr-TR"/>
              </w:rPr>
              <w:t>2</w:t>
            </w:r>
            <w:r w:rsidRPr="00594793">
              <w:rPr>
                <w:rFonts w:ascii="Times New Roman" w:hAnsi="Times New Roman" w:cs="Times New Roman"/>
                <w:b/>
                <w:sz w:val="20"/>
                <w:szCs w:val="20"/>
                <w:lang w:val="tr-TR"/>
              </w:rPr>
              <w:t xml:space="preserve"> concentration</w:t>
            </w:r>
          </w:p>
          <w:p w14:paraId="5C116DBA" w14:textId="52A89078"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b/>
                <w:sz w:val="20"/>
                <w:szCs w:val="20"/>
                <w:lang w:val="tr-TR"/>
              </w:rPr>
              <w:t>(</w:t>
            </w:r>
            <w:r w:rsidR="0055451F" w:rsidRPr="0055451F">
              <w:rPr>
                <w:rFonts w:ascii="Times New Roman" w:hAnsi="Times New Roman" w:cs="Times New Roman"/>
                <w:b/>
                <w:sz w:val="20"/>
                <w:szCs w:val="20"/>
                <w:lang w:val="tr-TR"/>
              </w:rPr>
              <w:t>µ</w:t>
            </w:r>
            <w:r w:rsidRPr="00594793">
              <w:rPr>
                <w:rFonts w:ascii="Times New Roman" w:hAnsi="Times New Roman" w:cs="Times New Roman"/>
                <w:b/>
                <w:sz w:val="20"/>
                <w:szCs w:val="20"/>
                <w:lang w:val="tr-TR"/>
              </w:rPr>
              <w:t>gm</w:t>
            </w:r>
            <w:r w:rsidR="0055451F">
              <w:rPr>
                <w:rFonts w:ascii="Times New Roman" w:hAnsi="Times New Roman" w:cs="Times New Roman"/>
                <w:b/>
                <w:sz w:val="20"/>
                <w:szCs w:val="20"/>
                <w:vertAlign w:val="superscript"/>
                <w:lang w:val="tr-TR"/>
              </w:rPr>
              <w:t>-3</w:t>
            </w:r>
            <w:r w:rsidRPr="00594793">
              <w:rPr>
                <w:rFonts w:ascii="Times New Roman" w:hAnsi="Times New Roman" w:cs="Times New Roman"/>
                <w:b/>
                <w:sz w:val="20"/>
                <w:szCs w:val="20"/>
                <w:lang w:val="tr-TR"/>
              </w:rPr>
              <w:t>)</w:t>
            </w:r>
          </w:p>
        </w:tc>
      </w:tr>
      <w:tr w:rsidR="002C3D99" w:rsidRPr="00594793" w14:paraId="2727467C" w14:textId="77777777" w:rsidTr="00A84CF0">
        <w:trPr>
          <w:cantSplit/>
          <w:trHeight w:val="190"/>
        </w:trPr>
        <w:tc>
          <w:tcPr>
            <w:tcW w:w="803" w:type="dxa"/>
            <w:tcBorders>
              <w:top w:val="single" w:sz="4" w:space="0" w:color="000000"/>
            </w:tcBorders>
          </w:tcPr>
          <w:p w14:paraId="7FC7495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w:t>
            </w:r>
          </w:p>
        </w:tc>
        <w:tc>
          <w:tcPr>
            <w:tcW w:w="809" w:type="dxa"/>
            <w:tcBorders>
              <w:top w:val="single" w:sz="4" w:space="0" w:color="000000"/>
            </w:tcBorders>
          </w:tcPr>
          <w:p w14:paraId="1B551A12"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10.45</w:t>
            </w:r>
          </w:p>
        </w:tc>
        <w:tc>
          <w:tcPr>
            <w:tcW w:w="698" w:type="dxa"/>
            <w:tcBorders>
              <w:top w:val="single" w:sz="4" w:space="0" w:color="000000"/>
            </w:tcBorders>
          </w:tcPr>
          <w:p w14:paraId="2AD5F670"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w:t>
            </w:r>
          </w:p>
        </w:tc>
        <w:tc>
          <w:tcPr>
            <w:tcW w:w="984" w:type="dxa"/>
            <w:tcBorders>
              <w:top w:val="single" w:sz="4" w:space="0" w:color="000000"/>
            </w:tcBorders>
          </w:tcPr>
          <w:p w14:paraId="6D5BEE9E"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15:00</w:t>
            </w:r>
          </w:p>
        </w:tc>
        <w:tc>
          <w:tcPr>
            <w:tcW w:w="1434" w:type="dxa"/>
            <w:tcBorders>
              <w:top w:val="single" w:sz="4" w:space="0" w:color="000000"/>
            </w:tcBorders>
          </w:tcPr>
          <w:p w14:paraId="7ADE0B9F"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3.6</w:t>
            </w:r>
          </w:p>
        </w:tc>
        <w:tc>
          <w:tcPr>
            <w:tcW w:w="1858" w:type="dxa"/>
            <w:tcBorders>
              <w:top w:val="single" w:sz="4" w:space="0" w:color="000000"/>
            </w:tcBorders>
          </w:tcPr>
          <w:p w14:paraId="3370C61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260</w:t>
            </w:r>
          </w:p>
        </w:tc>
        <w:tc>
          <w:tcPr>
            <w:tcW w:w="1899" w:type="dxa"/>
            <w:tcBorders>
              <w:top w:val="single" w:sz="4" w:space="0" w:color="000000"/>
            </w:tcBorders>
          </w:tcPr>
          <w:p w14:paraId="086BB5BA"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0.035</w:t>
            </w:r>
          </w:p>
        </w:tc>
      </w:tr>
      <w:tr w:rsidR="002C3D99" w:rsidRPr="00594793" w14:paraId="2F2E4691" w14:textId="77777777" w:rsidTr="00A84CF0">
        <w:trPr>
          <w:cantSplit/>
          <w:trHeight w:val="190"/>
        </w:trPr>
        <w:tc>
          <w:tcPr>
            <w:tcW w:w="803" w:type="dxa"/>
            <w:tcBorders>
              <w:bottom w:val="single" w:sz="4" w:space="0" w:color="000000"/>
            </w:tcBorders>
          </w:tcPr>
          <w:p w14:paraId="28C7D971"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6</w:t>
            </w:r>
          </w:p>
        </w:tc>
        <w:tc>
          <w:tcPr>
            <w:tcW w:w="809" w:type="dxa"/>
            <w:tcBorders>
              <w:bottom w:val="single" w:sz="4" w:space="0" w:color="000000"/>
            </w:tcBorders>
          </w:tcPr>
          <w:p w14:paraId="15ED8817"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10.55</w:t>
            </w:r>
          </w:p>
        </w:tc>
        <w:tc>
          <w:tcPr>
            <w:tcW w:w="698" w:type="dxa"/>
            <w:tcBorders>
              <w:bottom w:val="single" w:sz="4" w:space="0" w:color="000000"/>
            </w:tcBorders>
          </w:tcPr>
          <w:p w14:paraId="548A8B22"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w:t>
            </w:r>
          </w:p>
        </w:tc>
        <w:tc>
          <w:tcPr>
            <w:tcW w:w="984" w:type="dxa"/>
            <w:tcBorders>
              <w:bottom w:val="single" w:sz="4" w:space="0" w:color="000000"/>
            </w:tcBorders>
          </w:tcPr>
          <w:p w14:paraId="62087AB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15:00</w:t>
            </w:r>
          </w:p>
        </w:tc>
        <w:tc>
          <w:tcPr>
            <w:tcW w:w="1434" w:type="dxa"/>
            <w:tcBorders>
              <w:bottom w:val="single" w:sz="4" w:space="0" w:color="000000"/>
            </w:tcBorders>
          </w:tcPr>
          <w:p w14:paraId="7A58460C"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2.5</w:t>
            </w:r>
          </w:p>
        </w:tc>
        <w:tc>
          <w:tcPr>
            <w:tcW w:w="1858" w:type="dxa"/>
            <w:tcBorders>
              <w:bottom w:val="single" w:sz="4" w:space="0" w:color="000000"/>
            </w:tcBorders>
          </w:tcPr>
          <w:p w14:paraId="27842176"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220</w:t>
            </w:r>
          </w:p>
        </w:tc>
        <w:tc>
          <w:tcPr>
            <w:tcW w:w="1899" w:type="dxa"/>
            <w:tcBorders>
              <w:bottom w:val="single" w:sz="4" w:space="0" w:color="000000"/>
            </w:tcBorders>
          </w:tcPr>
          <w:p w14:paraId="13048350"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0.021</w:t>
            </w:r>
          </w:p>
        </w:tc>
      </w:tr>
    </w:tbl>
    <w:p w14:paraId="1D55EC7D" w14:textId="77777777" w:rsidR="002C3D99" w:rsidRPr="00BF0DC7" w:rsidRDefault="002C3D99">
      <w:pPr>
        <w:pStyle w:val="GvdeMetni"/>
        <w:rPr>
          <w:sz w:val="24"/>
          <w:szCs w:val="24"/>
          <w:lang w:val="tr-TR"/>
        </w:rPr>
      </w:pPr>
    </w:p>
    <w:p w14:paraId="069611AA" w14:textId="24AF0526" w:rsidR="000D2258" w:rsidRDefault="000D2258" w:rsidP="000D2258">
      <w:pPr>
        <w:suppressAutoHyphens w:val="0"/>
        <w:spacing w:after="100" w:afterAutospacing="1"/>
        <w:jc w:val="both"/>
        <w:rPr>
          <w:sz w:val="24"/>
          <w:lang w:val="tr-TR" w:eastAsia="tr-TR"/>
        </w:rPr>
      </w:pPr>
      <w:r w:rsidRPr="00A84CF0">
        <w:rPr>
          <w:sz w:val="24"/>
          <w:lang w:val="tr-TR" w:eastAsia="tr-TR"/>
        </w:rPr>
        <w:t xml:space="preserve">Horizontal lines should be placed </w:t>
      </w:r>
      <w:r w:rsidRPr="00A84CF0">
        <w:rPr>
          <w:bCs/>
          <w:sz w:val="24"/>
          <w:lang w:val="tr-TR" w:eastAsia="tr-TR"/>
        </w:rPr>
        <w:t>above and below table captions</w:t>
      </w:r>
      <w:r w:rsidRPr="00A84CF0">
        <w:rPr>
          <w:sz w:val="24"/>
          <w:lang w:val="tr-TR" w:eastAsia="tr-TR"/>
        </w:rPr>
        <w:t xml:space="preserve">, </w:t>
      </w:r>
      <w:r w:rsidRPr="00A84CF0">
        <w:rPr>
          <w:bCs/>
          <w:sz w:val="24"/>
          <w:lang w:val="tr-TR" w:eastAsia="tr-TR"/>
        </w:rPr>
        <w:t>above subheadings</w:t>
      </w:r>
      <w:r w:rsidRPr="00A84CF0">
        <w:rPr>
          <w:sz w:val="24"/>
          <w:lang w:val="tr-TR" w:eastAsia="tr-TR"/>
        </w:rPr>
        <w:t xml:space="preserve">, and </w:t>
      </w:r>
      <w:r w:rsidRPr="000D2258">
        <w:rPr>
          <w:bCs/>
          <w:sz w:val="24"/>
          <w:lang w:val="tr-TR" w:eastAsia="tr-TR"/>
        </w:rPr>
        <w:t>above any notes</w:t>
      </w:r>
      <w:r w:rsidRPr="00A84CF0">
        <w:rPr>
          <w:sz w:val="24"/>
          <w:lang w:val="tr-TR" w:eastAsia="tr-TR"/>
        </w:rPr>
        <w:t xml:space="preserve"> at the bottom of the table. If a table is too long to fit on a single page, the </w:t>
      </w:r>
      <w:r w:rsidRPr="000D2258">
        <w:rPr>
          <w:bCs/>
          <w:sz w:val="24"/>
          <w:lang w:val="tr-TR" w:eastAsia="tr-TR"/>
        </w:rPr>
        <w:t>table number and headings</w:t>
      </w:r>
      <w:r w:rsidRPr="00A84CF0">
        <w:rPr>
          <w:sz w:val="24"/>
          <w:lang w:val="tr-TR" w:eastAsia="tr-TR"/>
        </w:rPr>
        <w:t xml:space="preserve"> should be repeated on the next page before continuing the table.</w:t>
      </w:r>
    </w:p>
    <w:p w14:paraId="6965444A" w14:textId="77777777" w:rsidR="0098670F" w:rsidRPr="00A84CF0" w:rsidRDefault="0098670F" w:rsidP="0098670F">
      <w:pPr>
        <w:suppressAutoHyphens w:val="0"/>
        <w:jc w:val="both"/>
        <w:rPr>
          <w:sz w:val="24"/>
          <w:lang w:val="tr-TR" w:eastAsia="tr-TR"/>
        </w:rPr>
      </w:pPr>
    </w:p>
    <w:p w14:paraId="12F7C06D" w14:textId="77777777" w:rsidR="00A84CF0" w:rsidRPr="00A84CF0" w:rsidRDefault="00A84CF0" w:rsidP="0098670F">
      <w:pPr>
        <w:suppressAutoHyphens w:val="0"/>
        <w:jc w:val="both"/>
        <w:rPr>
          <w:sz w:val="24"/>
          <w:lang w:val="tr-TR" w:eastAsia="tr-TR"/>
        </w:rPr>
      </w:pPr>
      <w:r w:rsidRPr="00A84CF0">
        <w:rPr>
          <w:b/>
          <w:bCs/>
          <w:sz w:val="24"/>
          <w:lang w:val="tr-TR" w:eastAsia="tr-TR"/>
        </w:rPr>
        <w:t>2.3 Equations</w:t>
      </w:r>
      <w:r w:rsidRPr="00A84CF0">
        <w:rPr>
          <w:sz w:val="24"/>
          <w:lang w:val="tr-TR" w:eastAsia="tr-TR"/>
        </w:rPr>
        <w:br/>
        <w:t xml:space="preserve">Equations should be labeled as </w:t>
      </w:r>
      <w:r w:rsidRPr="000D2258">
        <w:rPr>
          <w:bCs/>
          <w:sz w:val="24"/>
          <w:lang w:val="tr-TR" w:eastAsia="tr-TR"/>
        </w:rPr>
        <w:t>equation (1)</w:t>
      </w:r>
      <w:r w:rsidRPr="00A84CF0">
        <w:rPr>
          <w:sz w:val="24"/>
          <w:lang w:val="tr-TR" w:eastAsia="tr-TR"/>
        </w:rPr>
        <w:t xml:space="preserve">, created using the equation editor of the word processor (they </w:t>
      </w:r>
      <w:r w:rsidRPr="000D2258">
        <w:rPr>
          <w:bCs/>
          <w:sz w:val="24"/>
          <w:lang w:val="tr-TR" w:eastAsia="tr-TR"/>
        </w:rPr>
        <w:t>should not be inserted as images</w:t>
      </w:r>
      <w:r w:rsidRPr="00A84CF0">
        <w:rPr>
          <w:sz w:val="24"/>
          <w:lang w:val="tr-TR" w:eastAsia="tr-TR"/>
        </w:rPr>
        <w:t xml:space="preserve">), and all equations should be </w:t>
      </w:r>
      <w:r w:rsidRPr="000D2258">
        <w:rPr>
          <w:bCs/>
          <w:sz w:val="24"/>
          <w:lang w:val="tr-TR" w:eastAsia="tr-TR"/>
        </w:rPr>
        <w:t>centered</w:t>
      </w:r>
      <w:r w:rsidRPr="00A84CF0">
        <w:rPr>
          <w:sz w:val="24"/>
          <w:lang w:val="tr-TR" w:eastAsia="tr-TR"/>
        </w:rPr>
        <w:t xml:space="preserve"> with the </w:t>
      </w:r>
      <w:r w:rsidRPr="000D2258">
        <w:rPr>
          <w:bCs/>
          <w:sz w:val="24"/>
          <w:lang w:val="tr-TR" w:eastAsia="tr-TR"/>
        </w:rPr>
        <w:t>equation number right-aligned</w:t>
      </w:r>
      <w:r w:rsidRPr="00A84CF0">
        <w:rPr>
          <w:sz w:val="24"/>
          <w:lang w:val="tr-TR" w:eastAsia="tr-TR"/>
        </w:rPr>
        <w:t>, as shown in the following example:</w:t>
      </w:r>
    </w:p>
    <w:p w14:paraId="1E501071" w14:textId="77777777" w:rsidR="00A84CF0" w:rsidRDefault="00A84CF0" w:rsidP="000149E9">
      <w:pPr>
        <w:jc w:val="both"/>
        <w:rPr>
          <w:sz w:val="24"/>
          <w:lang w:val="tr-TR"/>
        </w:rPr>
      </w:pPr>
    </w:p>
    <w:p w14:paraId="441C62B7" w14:textId="4C9FF0D6" w:rsidR="002C3D99" w:rsidRPr="00BF0DC7" w:rsidRDefault="00106DDF" w:rsidP="001379C1">
      <w:pPr>
        <w:jc w:val="right"/>
        <w:rPr>
          <w:noProof/>
          <w:sz w:val="24"/>
          <w:lang w:val="tr-TR"/>
        </w:rPr>
      </w:pPr>
      <m:oMath>
        <m:r>
          <w:rPr>
            <w:rFonts w:ascii="Cambria Math" w:hAnsi="Cambria Math"/>
            <w:noProof/>
            <w:sz w:val="24"/>
            <w:lang w:val="tr-TR"/>
          </w:rPr>
          <m:t>u</m:t>
        </m:r>
        <m:d>
          <m:dPr>
            <m:ctrlPr>
              <w:rPr>
                <w:rFonts w:ascii="Cambria Math" w:hAnsi="Cambria Math"/>
                <w:i/>
                <w:noProof/>
                <w:sz w:val="24"/>
                <w:lang w:val="tr-TR"/>
              </w:rPr>
            </m:ctrlPr>
          </m:dPr>
          <m:e>
            <m:r>
              <w:rPr>
                <w:rFonts w:ascii="Cambria Math" w:hAnsi="Cambria Math"/>
                <w:noProof/>
                <w:sz w:val="24"/>
                <w:lang w:val="tr-TR"/>
              </w:rPr>
              <m:t>z</m:t>
            </m:r>
          </m:e>
        </m:d>
        <m:r>
          <w:rPr>
            <w:rFonts w:ascii="Cambria Math" w:hAnsi="Cambria Math"/>
            <w:noProof/>
            <w:sz w:val="24"/>
            <w:lang w:val="tr-TR"/>
          </w:rPr>
          <m:t>=</m:t>
        </m:r>
        <m:f>
          <m:fPr>
            <m:ctrlPr>
              <w:rPr>
                <w:rFonts w:ascii="Cambria Math" w:hAnsi="Cambria Math"/>
                <w:i/>
                <w:noProof/>
                <w:sz w:val="24"/>
                <w:lang w:val="tr-TR"/>
              </w:rPr>
            </m:ctrlPr>
          </m:fPr>
          <m:num>
            <m:d>
              <m:dPr>
                <m:ctrlPr>
                  <w:rPr>
                    <w:rFonts w:ascii="Cambria Math" w:hAnsi="Cambria Math"/>
                    <w:i/>
                    <w:noProof/>
                    <w:sz w:val="24"/>
                    <w:lang w:val="tr-TR"/>
                  </w:rPr>
                </m:ctrlPr>
              </m:dPr>
              <m:e>
                <m:sSub>
                  <m:sSubPr>
                    <m:ctrlPr>
                      <w:rPr>
                        <w:rFonts w:ascii="Cambria Math" w:hAnsi="Cambria Math"/>
                        <w:i/>
                        <w:noProof/>
                        <w:sz w:val="24"/>
                        <w:lang w:val="tr-TR"/>
                      </w:rPr>
                    </m:ctrlPr>
                  </m:sSubPr>
                  <m:e>
                    <m:r>
                      <w:rPr>
                        <w:rFonts w:ascii="Cambria Math" w:hAnsi="Cambria Math"/>
                        <w:noProof/>
                        <w:sz w:val="24"/>
                        <w:lang w:val="tr-TR"/>
                      </w:rPr>
                      <m:t>u</m:t>
                    </m:r>
                  </m:e>
                  <m:sub>
                    <m:r>
                      <w:rPr>
                        <w:rFonts w:ascii="Cambria Math" w:hAnsi="Cambria Math"/>
                        <w:noProof/>
                        <w:sz w:val="24"/>
                        <w:lang w:val="tr-TR"/>
                      </w:rPr>
                      <m:t>*</m:t>
                    </m:r>
                  </m:sub>
                </m:sSub>
              </m:e>
            </m:d>
          </m:num>
          <m:den>
            <m:r>
              <w:rPr>
                <w:rFonts w:ascii="Cambria Math" w:hAnsi="Cambria Math"/>
                <w:noProof/>
                <w:sz w:val="24"/>
                <w:lang w:val="tr-TR"/>
              </w:rPr>
              <m:t xml:space="preserve"> κ</m:t>
            </m:r>
          </m:den>
        </m:f>
        <m:r>
          <w:rPr>
            <w:rFonts w:ascii="Cambria Math" w:hAnsi="Cambria Math"/>
            <w:noProof/>
            <w:sz w:val="24"/>
            <w:lang w:val="tr-TR"/>
          </w:rPr>
          <m:t>x ln(</m:t>
        </m:r>
        <m:f>
          <m:fPr>
            <m:ctrlPr>
              <w:rPr>
                <w:rFonts w:ascii="Cambria Math" w:hAnsi="Cambria Math"/>
                <w:i/>
                <w:noProof/>
                <w:sz w:val="24"/>
                <w:lang w:val="tr-TR"/>
              </w:rPr>
            </m:ctrlPr>
          </m:fPr>
          <m:num>
            <m:r>
              <w:rPr>
                <w:rFonts w:ascii="Cambria Math" w:hAnsi="Cambria Math"/>
                <w:noProof/>
                <w:sz w:val="24"/>
                <w:lang w:val="tr-TR"/>
              </w:rPr>
              <m:t>z</m:t>
            </m:r>
          </m:num>
          <m:den>
            <m:r>
              <w:rPr>
                <w:rFonts w:ascii="Cambria Math" w:hAnsi="Cambria Math"/>
                <w:noProof/>
                <w:sz w:val="24"/>
                <w:lang w:val="tr-TR"/>
              </w:rPr>
              <m:t>z₀</m:t>
            </m:r>
          </m:den>
        </m:f>
        <m:r>
          <w:rPr>
            <w:rFonts w:ascii="Cambria Math" w:hAnsi="Cambria Math"/>
            <w:noProof/>
            <w:sz w:val="24"/>
            <w:lang w:val="tr-TR"/>
          </w:rPr>
          <m:t xml:space="preserve"> )</m:t>
        </m:r>
      </m:oMath>
      <w:r w:rsidR="006363C9" w:rsidRPr="00BF0DC7">
        <w:rPr>
          <w:sz w:val="24"/>
          <w:lang w:val="tr-TR"/>
        </w:rPr>
        <w:tab/>
      </w:r>
      <w:r>
        <w:rPr>
          <w:sz w:val="24"/>
          <w:lang w:val="tr-TR"/>
        </w:rPr>
        <w:tab/>
      </w:r>
      <w:r w:rsidR="006363C9" w:rsidRPr="00BF0DC7">
        <w:rPr>
          <w:sz w:val="24"/>
          <w:lang w:val="tr-TR"/>
        </w:rPr>
        <w:tab/>
      </w:r>
      <w:r w:rsidR="000149E9" w:rsidRPr="00BF0DC7">
        <w:rPr>
          <w:sz w:val="24"/>
          <w:lang w:val="tr-TR"/>
        </w:rPr>
        <w:t xml:space="preserve">            </w:t>
      </w:r>
      <w:r w:rsidR="002C3D99" w:rsidRPr="00BF0DC7">
        <w:rPr>
          <w:sz w:val="24"/>
          <w:lang w:val="tr-TR"/>
        </w:rPr>
        <w:tab/>
        <w:t>(1)</w:t>
      </w:r>
    </w:p>
    <w:p w14:paraId="1003D9BB" w14:textId="77777777" w:rsidR="002C3D99" w:rsidRPr="00BF0DC7" w:rsidRDefault="002C3D99">
      <w:pPr>
        <w:rPr>
          <w:sz w:val="24"/>
          <w:lang w:val="tr-TR"/>
        </w:rPr>
      </w:pPr>
    </w:p>
    <w:p w14:paraId="46DB1B6F" w14:textId="1040D9E7" w:rsidR="002C3D99" w:rsidRDefault="000D2258" w:rsidP="0098670F">
      <w:pPr>
        <w:suppressAutoHyphens w:val="0"/>
        <w:jc w:val="both"/>
        <w:rPr>
          <w:sz w:val="24"/>
          <w:lang w:val="tr-TR" w:eastAsia="tr-TR"/>
        </w:rPr>
      </w:pPr>
      <w:r w:rsidRPr="000D2258">
        <w:rPr>
          <w:b/>
          <w:bCs/>
          <w:sz w:val="24"/>
          <w:lang w:val="tr-TR" w:eastAsia="tr-TR"/>
        </w:rPr>
        <w:t>2.4 UNITS OF MEASUREMENT</w:t>
      </w:r>
      <w:r w:rsidRPr="000D2258">
        <w:rPr>
          <w:sz w:val="24"/>
          <w:lang w:val="tr-TR" w:eastAsia="tr-TR"/>
        </w:rPr>
        <w:br/>
        <w:t xml:space="preserve">Please follow the International System of Units </w:t>
      </w:r>
      <w:r>
        <w:rPr>
          <w:sz w:val="24"/>
          <w:lang w:val="tr-TR" w:eastAsia="tr-TR"/>
        </w:rPr>
        <w:t>(</w:t>
      </w:r>
      <w:r w:rsidRPr="000D2258">
        <w:rPr>
          <w:sz w:val="24"/>
          <w:lang w:val="tr-TR" w:eastAsia="tr-TR"/>
        </w:rPr>
        <w:t xml:space="preserve">SI) measurement </w:t>
      </w:r>
      <w:r w:rsidR="0098670F">
        <w:rPr>
          <w:sz w:val="24"/>
          <w:lang w:val="tr-TR" w:eastAsia="tr-TR"/>
        </w:rPr>
        <w:t>system.</w:t>
      </w:r>
    </w:p>
    <w:p w14:paraId="2E34C3B3" w14:textId="77777777" w:rsidR="0098670F" w:rsidRPr="00BF0DC7" w:rsidRDefault="0098670F" w:rsidP="0098670F">
      <w:pPr>
        <w:suppressAutoHyphens w:val="0"/>
        <w:jc w:val="both"/>
        <w:rPr>
          <w:sz w:val="24"/>
          <w:lang w:val="tr-TR" w:eastAsia="tr-TR"/>
        </w:rPr>
      </w:pPr>
    </w:p>
    <w:p w14:paraId="124965AF" w14:textId="217C569F" w:rsidR="000D2258" w:rsidRDefault="000D2258" w:rsidP="0098670F">
      <w:pPr>
        <w:suppressAutoHyphens w:val="0"/>
        <w:jc w:val="both"/>
        <w:rPr>
          <w:sz w:val="24"/>
          <w:lang w:val="tr-TR" w:eastAsia="tr-TR"/>
        </w:rPr>
      </w:pPr>
      <w:r w:rsidRPr="000D2258">
        <w:rPr>
          <w:b/>
          <w:bCs/>
          <w:sz w:val="24"/>
          <w:lang w:val="tr-TR" w:eastAsia="tr-TR"/>
        </w:rPr>
        <w:t>3. ANALYSIS</w:t>
      </w:r>
      <w:r w:rsidRPr="000D2258">
        <w:rPr>
          <w:sz w:val="24"/>
          <w:lang w:val="tr-TR" w:eastAsia="tr-TR"/>
        </w:rPr>
        <w:br/>
        <w:t xml:space="preserve">Present the results of your analysis. In-text unit notations should use </w:t>
      </w:r>
      <w:r w:rsidRPr="000D2258">
        <w:rPr>
          <w:bCs/>
          <w:sz w:val="24"/>
          <w:lang w:val="tr-TR" w:eastAsia="tr-TR"/>
        </w:rPr>
        <w:t>negative exponents instead of slashes</w:t>
      </w:r>
      <w:r w:rsidRPr="000D2258">
        <w:rPr>
          <w:sz w:val="24"/>
          <w:lang w:val="tr-TR" w:eastAsia="tr-TR"/>
        </w:rPr>
        <w:t xml:space="preserve"> (e.g., </w:t>
      </w:r>
      <w:r w:rsidRPr="000D2258">
        <w:rPr>
          <w:i/>
          <w:iCs/>
          <w:sz w:val="24"/>
          <w:lang w:val="tr-TR" w:eastAsia="tr-TR"/>
        </w:rPr>
        <w:t>m/s</w:t>
      </w:r>
      <w:r w:rsidRPr="000D2258">
        <w:rPr>
          <w:sz w:val="24"/>
          <w:lang w:val="tr-TR" w:eastAsia="tr-TR"/>
        </w:rPr>
        <w:t xml:space="preserve"> should be written as </w:t>
      </w:r>
      <w:r w:rsidRPr="000D2258">
        <w:rPr>
          <w:i/>
          <w:iCs/>
          <w:sz w:val="24"/>
          <w:lang w:val="tr-TR" w:eastAsia="tr-TR"/>
        </w:rPr>
        <w:t>ms⁻¹</w:t>
      </w:r>
      <w:r w:rsidRPr="000D2258">
        <w:rPr>
          <w:sz w:val="24"/>
          <w:lang w:val="tr-TR" w:eastAsia="tr-TR"/>
        </w:rPr>
        <w:t>).</w:t>
      </w:r>
    </w:p>
    <w:p w14:paraId="3A13C8C3" w14:textId="77777777" w:rsidR="0098670F" w:rsidRPr="000D2258" w:rsidRDefault="0098670F" w:rsidP="0098670F">
      <w:pPr>
        <w:suppressAutoHyphens w:val="0"/>
        <w:jc w:val="both"/>
        <w:rPr>
          <w:sz w:val="24"/>
          <w:lang w:val="tr-TR" w:eastAsia="tr-TR"/>
        </w:rPr>
      </w:pPr>
    </w:p>
    <w:p w14:paraId="662D122F" w14:textId="7DBEA33A" w:rsidR="000D2258" w:rsidRDefault="000D2258" w:rsidP="0098670F">
      <w:pPr>
        <w:suppressAutoHyphens w:val="0"/>
        <w:spacing w:after="100" w:afterAutospacing="1"/>
        <w:rPr>
          <w:sz w:val="24"/>
          <w:lang w:val="tr-TR" w:eastAsia="tr-TR"/>
        </w:rPr>
      </w:pPr>
      <w:r w:rsidRPr="000D2258">
        <w:rPr>
          <w:b/>
          <w:bCs/>
          <w:sz w:val="24"/>
          <w:lang w:val="tr-TR" w:eastAsia="tr-TR"/>
        </w:rPr>
        <w:t>4. RESULTS AND RECOMMENDATIONS</w:t>
      </w:r>
      <w:r w:rsidRPr="000D2258">
        <w:rPr>
          <w:sz w:val="24"/>
          <w:lang w:val="tr-TR" w:eastAsia="tr-TR"/>
        </w:rPr>
        <w:br/>
        <w:t>Present your results and recommendations.</w:t>
      </w:r>
    </w:p>
    <w:p w14:paraId="1588E235" w14:textId="77777777" w:rsidR="0098670F" w:rsidRPr="000D2258" w:rsidRDefault="0098670F" w:rsidP="0098670F">
      <w:pPr>
        <w:suppressAutoHyphens w:val="0"/>
        <w:rPr>
          <w:sz w:val="24"/>
          <w:lang w:val="tr-TR" w:eastAsia="tr-TR"/>
        </w:rPr>
      </w:pPr>
    </w:p>
    <w:p w14:paraId="6C82363E" w14:textId="3EA19B94" w:rsidR="000D2258" w:rsidRDefault="000D2258" w:rsidP="0098670F">
      <w:pPr>
        <w:suppressAutoHyphens w:val="0"/>
        <w:spacing w:after="100" w:afterAutospacing="1"/>
        <w:jc w:val="both"/>
        <w:rPr>
          <w:sz w:val="24"/>
          <w:lang w:val="tr-TR" w:eastAsia="tr-TR"/>
        </w:rPr>
      </w:pPr>
      <w:r w:rsidRPr="000D2258">
        <w:rPr>
          <w:b/>
          <w:bCs/>
          <w:sz w:val="24"/>
          <w:lang w:val="tr-TR" w:eastAsia="tr-TR"/>
        </w:rPr>
        <w:t>ACKNOWLEDGEMENTS</w:t>
      </w:r>
      <w:r w:rsidRPr="000D2258">
        <w:rPr>
          <w:sz w:val="24"/>
          <w:lang w:val="tr-TR" w:eastAsia="tr-TR"/>
        </w:rPr>
        <w:br/>
        <w:t>The authors would like to thank the Turkish State Meteorological Service (MGM) for providing the data.</w:t>
      </w:r>
    </w:p>
    <w:p w14:paraId="58DA5A6D" w14:textId="77777777" w:rsidR="0098670F" w:rsidRPr="000D2258" w:rsidRDefault="0098670F" w:rsidP="0098670F">
      <w:pPr>
        <w:suppressAutoHyphens w:val="0"/>
        <w:jc w:val="both"/>
        <w:rPr>
          <w:sz w:val="24"/>
          <w:lang w:val="tr-TR" w:eastAsia="tr-TR"/>
        </w:rPr>
      </w:pPr>
    </w:p>
    <w:p w14:paraId="00D1AA89" w14:textId="2FC40029" w:rsidR="000D2258" w:rsidRPr="000D2258" w:rsidRDefault="000D2258" w:rsidP="0098670F">
      <w:pPr>
        <w:suppressAutoHyphens w:val="0"/>
        <w:jc w:val="both"/>
        <w:rPr>
          <w:sz w:val="24"/>
          <w:lang w:val="tr-TR" w:eastAsia="tr-TR"/>
        </w:rPr>
      </w:pPr>
      <w:r w:rsidRPr="000D2258">
        <w:rPr>
          <w:b/>
          <w:bCs/>
          <w:sz w:val="24"/>
          <w:lang w:val="tr-TR" w:eastAsia="tr-TR"/>
        </w:rPr>
        <w:t>REFERENCES</w:t>
      </w:r>
      <w:r w:rsidRPr="000D2258">
        <w:rPr>
          <w:sz w:val="24"/>
          <w:lang w:val="tr-TR" w:eastAsia="tr-TR"/>
        </w:rPr>
        <w:br/>
        <w:t xml:space="preserve">Citations should be given in the text as </w:t>
      </w:r>
      <w:r w:rsidRPr="000D2258">
        <w:rPr>
          <w:bCs/>
          <w:sz w:val="24"/>
          <w:lang w:val="tr-TR" w:eastAsia="tr-TR"/>
        </w:rPr>
        <w:t>Etling and Brown (1993)</w:t>
      </w:r>
      <w:r w:rsidRPr="000D2258">
        <w:rPr>
          <w:sz w:val="24"/>
          <w:lang w:val="tr-TR" w:eastAsia="tr-TR"/>
        </w:rPr>
        <w:t xml:space="preserve"> or </w:t>
      </w:r>
      <w:r w:rsidRPr="000D2258">
        <w:rPr>
          <w:bCs/>
          <w:sz w:val="24"/>
          <w:lang w:val="tr-TR" w:eastAsia="tr-TR"/>
        </w:rPr>
        <w:t>(Etling and Brown, 1993)</w:t>
      </w:r>
      <w:r w:rsidRPr="000D2258">
        <w:rPr>
          <w:sz w:val="24"/>
          <w:lang w:val="tr-TR" w:eastAsia="tr-TR"/>
        </w:rPr>
        <w:t xml:space="preserve">. The reference list should be presented in </w:t>
      </w:r>
      <w:r w:rsidRPr="0098670F">
        <w:rPr>
          <w:bCs/>
          <w:sz w:val="24"/>
          <w:lang w:val="tr-TR" w:eastAsia="tr-TR"/>
        </w:rPr>
        <w:t>alphabetical order</w:t>
      </w:r>
      <w:r w:rsidRPr="000D2258">
        <w:rPr>
          <w:sz w:val="24"/>
          <w:lang w:val="tr-TR" w:eastAsia="tr-TR"/>
        </w:rPr>
        <w:t xml:space="preserve"> and formatted according to </w:t>
      </w:r>
      <w:r w:rsidRPr="0098670F">
        <w:rPr>
          <w:bCs/>
          <w:sz w:val="24"/>
          <w:lang w:val="tr-TR" w:eastAsia="tr-TR"/>
        </w:rPr>
        <w:t>APA 7</w:t>
      </w:r>
      <w:r w:rsidRPr="000D2258">
        <w:rPr>
          <w:sz w:val="24"/>
          <w:lang w:val="tr-TR" w:eastAsia="tr-TR"/>
        </w:rPr>
        <w:t xml:space="preserve"> style.</w:t>
      </w:r>
    </w:p>
    <w:p w14:paraId="31977C5D" w14:textId="77777777" w:rsidR="000D2258" w:rsidRPr="00BF0DC7" w:rsidRDefault="000D2258">
      <w:pPr>
        <w:rPr>
          <w:sz w:val="24"/>
          <w:lang w:val="tr-TR"/>
        </w:rPr>
      </w:pPr>
    </w:p>
    <w:p w14:paraId="2A87A0BF" w14:textId="24EDAF63" w:rsidR="002C3D99" w:rsidRDefault="002C3D99">
      <w:pPr>
        <w:pStyle w:val="References"/>
        <w:rPr>
          <w:sz w:val="24"/>
          <w:szCs w:val="24"/>
          <w:lang w:val="tr-TR"/>
        </w:rPr>
      </w:pPr>
      <w:r w:rsidRPr="00BF0DC7">
        <w:rPr>
          <w:sz w:val="24"/>
          <w:szCs w:val="24"/>
          <w:lang w:val="tr-TR"/>
        </w:rPr>
        <w:t xml:space="preserve">Etling, D. </w:t>
      </w:r>
      <w:r w:rsidR="00E80380">
        <w:rPr>
          <w:sz w:val="24"/>
          <w:szCs w:val="24"/>
          <w:lang w:val="tr-TR"/>
        </w:rPr>
        <w:t>&amp;</w:t>
      </w:r>
      <w:r w:rsidRPr="00BF0DC7">
        <w:rPr>
          <w:sz w:val="24"/>
          <w:szCs w:val="24"/>
          <w:lang w:val="tr-TR"/>
        </w:rPr>
        <w:t xml:space="preserve"> Brown, </w:t>
      </w:r>
      <w:r w:rsidR="00E80380" w:rsidRPr="00BF0DC7">
        <w:rPr>
          <w:sz w:val="24"/>
          <w:szCs w:val="24"/>
          <w:lang w:val="tr-TR"/>
        </w:rPr>
        <w:t xml:space="preserve">R.A. </w:t>
      </w:r>
      <w:r w:rsidR="005C7903">
        <w:rPr>
          <w:sz w:val="24"/>
          <w:szCs w:val="24"/>
          <w:lang w:val="tr-TR"/>
        </w:rPr>
        <w:t>(</w:t>
      </w:r>
      <w:r w:rsidRPr="00BF0DC7">
        <w:rPr>
          <w:sz w:val="24"/>
          <w:szCs w:val="24"/>
          <w:lang w:val="tr-TR"/>
        </w:rPr>
        <w:t>1993</w:t>
      </w:r>
      <w:r w:rsidR="005C7903">
        <w:rPr>
          <w:sz w:val="24"/>
          <w:szCs w:val="24"/>
          <w:lang w:val="tr-TR"/>
        </w:rPr>
        <w:t>)</w:t>
      </w:r>
      <w:r w:rsidR="00E80380">
        <w:rPr>
          <w:sz w:val="24"/>
          <w:szCs w:val="24"/>
          <w:lang w:val="tr-TR"/>
        </w:rPr>
        <w:t>.</w:t>
      </w:r>
      <w:r w:rsidRPr="00BF0DC7">
        <w:rPr>
          <w:sz w:val="24"/>
          <w:szCs w:val="24"/>
          <w:lang w:val="tr-TR"/>
        </w:rPr>
        <w:t xml:space="preserve"> Roll vortices in the planetary boundary layer: A review. </w:t>
      </w:r>
      <w:r w:rsidRPr="00BF0DC7">
        <w:rPr>
          <w:i/>
          <w:sz w:val="24"/>
          <w:szCs w:val="24"/>
          <w:lang w:val="tr-TR"/>
        </w:rPr>
        <w:t>Boundary-Layer Meteorol.</w:t>
      </w:r>
      <w:r w:rsidRPr="00BF0DC7">
        <w:rPr>
          <w:sz w:val="24"/>
          <w:szCs w:val="24"/>
          <w:lang w:val="tr-TR"/>
        </w:rPr>
        <w:t xml:space="preserve">, </w:t>
      </w:r>
      <w:r w:rsidRPr="00BF0DC7">
        <w:rPr>
          <w:b/>
          <w:sz w:val="24"/>
          <w:szCs w:val="24"/>
          <w:lang w:val="tr-TR"/>
        </w:rPr>
        <w:t>65</w:t>
      </w:r>
      <w:r w:rsidRPr="00BF0DC7">
        <w:rPr>
          <w:sz w:val="24"/>
          <w:szCs w:val="24"/>
          <w:lang w:val="tr-TR"/>
        </w:rPr>
        <w:t xml:space="preserve">, 215-248. </w:t>
      </w:r>
    </w:p>
    <w:p w14:paraId="6562DBBE" w14:textId="77777777" w:rsidR="00B135B9" w:rsidRDefault="00B135B9" w:rsidP="00B135B9">
      <w:pPr>
        <w:pStyle w:val="References"/>
        <w:rPr>
          <w:sz w:val="24"/>
          <w:lang w:val="tr-TR"/>
        </w:rPr>
      </w:pPr>
      <w:r w:rsidRPr="00E80380">
        <w:rPr>
          <w:sz w:val="24"/>
          <w:lang w:val="tr-TR"/>
        </w:rPr>
        <w:t>Holton, J. R., &amp; Hakim, G. J. (2013). An Introduction to Dynamic</w:t>
      </w:r>
      <w:r>
        <w:rPr>
          <w:sz w:val="24"/>
          <w:lang w:val="tr-TR"/>
        </w:rPr>
        <w:t xml:space="preserve"> </w:t>
      </w:r>
      <w:r w:rsidRPr="00E80380">
        <w:rPr>
          <w:sz w:val="24"/>
          <w:lang w:val="tr-TR"/>
        </w:rPr>
        <w:t>Meteorology (fifth edition) (pp. 154</w:t>
      </w:r>
      <w:r>
        <w:rPr>
          <w:sz w:val="24"/>
          <w:lang w:val="tr-TR"/>
        </w:rPr>
        <w:t>-</w:t>
      </w:r>
      <w:r w:rsidRPr="00E80380">
        <w:rPr>
          <w:sz w:val="24"/>
          <w:lang w:val="tr-TR"/>
        </w:rPr>
        <w:t>157). Waltham: Elsevier</w:t>
      </w:r>
      <w:r>
        <w:rPr>
          <w:sz w:val="24"/>
          <w:lang w:val="tr-TR"/>
        </w:rPr>
        <w:t xml:space="preserve"> </w:t>
      </w:r>
      <w:r w:rsidRPr="00E80380">
        <w:rPr>
          <w:sz w:val="24"/>
          <w:lang w:val="tr-TR"/>
        </w:rPr>
        <w:t>Academic Press.</w:t>
      </w:r>
    </w:p>
    <w:p w14:paraId="7E40A201" w14:textId="77777777" w:rsidR="00B135B9" w:rsidRDefault="00B135B9" w:rsidP="00B135B9">
      <w:pPr>
        <w:pStyle w:val="References"/>
        <w:rPr>
          <w:sz w:val="24"/>
          <w:lang w:val="tr-TR"/>
        </w:rPr>
      </w:pPr>
      <w:r w:rsidRPr="00E80380">
        <w:rPr>
          <w:sz w:val="24"/>
          <w:lang w:val="tr-TR"/>
        </w:rPr>
        <w:lastRenderedPageBreak/>
        <w:t>Knox, J. A., Frye, J. D., Durkee, J. D., &amp; Fuhrmann, C. M. (2011).</w:t>
      </w:r>
      <w:r>
        <w:rPr>
          <w:sz w:val="24"/>
          <w:lang w:val="tr-TR"/>
        </w:rPr>
        <w:t xml:space="preserve"> </w:t>
      </w:r>
      <w:r w:rsidRPr="00E80380">
        <w:rPr>
          <w:sz w:val="24"/>
          <w:lang w:val="tr-TR"/>
        </w:rPr>
        <w:t>Non-convective high winds associated with extratropical</w:t>
      </w:r>
      <w:r>
        <w:rPr>
          <w:sz w:val="24"/>
          <w:lang w:val="tr-TR"/>
        </w:rPr>
        <w:t xml:space="preserve"> </w:t>
      </w:r>
      <w:r w:rsidRPr="00E80380">
        <w:rPr>
          <w:sz w:val="24"/>
          <w:lang w:val="tr-TR"/>
        </w:rPr>
        <w:t xml:space="preserve">cyclones. Geography Compass, 5(2), 63–89. </w:t>
      </w:r>
      <w:hyperlink r:id="rId11" w:history="1">
        <w:r w:rsidRPr="00E80380">
          <w:rPr>
            <w:rStyle w:val="Kpr"/>
            <w:sz w:val="24"/>
            <w:lang w:val="tr-TR"/>
          </w:rPr>
          <w:t>https://doi.org/10.1111/j.1749-8198.2010.00395.x</w:t>
        </w:r>
      </w:hyperlink>
    </w:p>
    <w:p w14:paraId="5D338D3F" w14:textId="549492CD" w:rsidR="00E80380" w:rsidRPr="00E80380" w:rsidRDefault="00E80380" w:rsidP="00E80380">
      <w:pPr>
        <w:pStyle w:val="References"/>
        <w:jc w:val="left"/>
        <w:rPr>
          <w:sz w:val="24"/>
          <w:lang w:val="tr-TR"/>
        </w:rPr>
      </w:pPr>
      <w:r w:rsidRPr="00E80380">
        <w:rPr>
          <w:sz w:val="24"/>
          <w:lang w:val="tr-TR"/>
        </w:rPr>
        <w:t>Mecikalski, R. M., &amp; Carey, L. D. (2017). Lightning characteristics</w:t>
      </w:r>
      <w:r>
        <w:rPr>
          <w:sz w:val="24"/>
          <w:lang w:val="tr-TR"/>
        </w:rPr>
        <w:t xml:space="preserve"> </w:t>
      </w:r>
      <w:r w:rsidRPr="00E80380">
        <w:rPr>
          <w:sz w:val="24"/>
          <w:lang w:val="tr-TR"/>
        </w:rPr>
        <w:t>relative to radar, altitude and temperature for a multicell, MCS and supercell over northern Alabama.</w:t>
      </w:r>
      <w:r>
        <w:rPr>
          <w:sz w:val="24"/>
          <w:lang w:val="tr-TR"/>
        </w:rPr>
        <w:t xml:space="preserve"> </w:t>
      </w:r>
      <w:r w:rsidRPr="00E80380">
        <w:rPr>
          <w:sz w:val="24"/>
          <w:lang w:val="tr-TR"/>
        </w:rPr>
        <w:t>Atmospheric</w:t>
      </w:r>
      <w:r>
        <w:rPr>
          <w:sz w:val="24"/>
          <w:lang w:val="tr-TR"/>
        </w:rPr>
        <w:t xml:space="preserve"> </w:t>
      </w:r>
      <w:r w:rsidRPr="00E80380">
        <w:rPr>
          <w:sz w:val="24"/>
          <w:lang w:val="tr-TR"/>
        </w:rPr>
        <w:t>Research,</w:t>
      </w:r>
      <w:r>
        <w:rPr>
          <w:sz w:val="24"/>
          <w:lang w:val="tr-TR"/>
        </w:rPr>
        <w:t xml:space="preserve"> </w:t>
      </w:r>
      <w:r w:rsidRPr="00E80380">
        <w:rPr>
          <w:sz w:val="24"/>
          <w:lang w:val="tr-TR"/>
        </w:rPr>
        <w:t xml:space="preserve">191, 128–140. </w:t>
      </w:r>
      <w:hyperlink r:id="rId12" w:history="1">
        <w:r w:rsidRPr="00E80380">
          <w:rPr>
            <w:rStyle w:val="Kpr"/>
            <w:sz w:val="24"/>
            <w:lang w:val="tr-TR"/>
          </w:rPr>
          <w:t>https://doi.org/10.1016/j.atmosres.2017.03.001</w:t>
        </w:r>
      </w:hyperlink>
    </w:p>
    <w:p w14:paraId="3EE4AE21" w14:textId="35CA92F4" w:rsidR="00E34E89" w:rsidRPr="00BF0DC7" w:rsidRDefault="00785EA0" w:rsidP="000D2258">
      <w:pPr>
        <w:pStyle w:val="References"/>
        <w:rPr>
          <w:sz w:val="24"/>
          <w:lang w:val="tr-TR"/>
        </w:rPr>
      </w:pPr>
      <w:r w:rsidRPr="00785EA0">
        <w:rPr>
          <w:sz w:val="24"/>
          <w:lang w:val="tr-TR"/>
        </w:rPr>
        <w:t>UWYO (University of Wyoming)</w:t>
      </w:r>
      <w:r w:rsidR="001379C1">
        <w:rPr>
          <w:sz w:val="24"/>
          <w:lang w:val="tr-TR"/>
        </w:rPr>
        <w:t xml:space="preserve"> </w:t>
      </w:r>
      <w:r w:rsidRPr="00785EA0">
        <w:rPr>
          <w:sz w:val="24"/>
          <w:lang w:val="tr-TR"/>
        </w:rPr>
        <w:t>(2025). University of Wyoming.</w:t>
      </w:r>
      <w:r w:rsidR="00B135B9">
        <w:rPr>
          <w:sz w:val="24"/>
          <w:lang w:val="tr-TR"/>
        </w:rPr>
        <w:t xml:space="preserve"> </w:t>
      </w:r>
      <w:r w:rsidR="000D2258" w:rsidRPr="000D2258">
        <w:rPr>
          <w:sz w:val="24"/>
          <w:lang w:val="tr-TR"/>
        </w:rPr>
        <w:t>Retrieved February 28, 2025, from</w:t>
      </w:r>
      <w:r w:rsidR="000D2258">
        <w:rPr>
          <w:sz w:val="24"/>
          <w:lang w:val="tr-TR"/>
        </w:rPr>
        <w:t xml:space="preserve"> </w:t>
      </w:r>
      <w:hyperlink r:id="rId13" w:history="1">
        <w:r w:rsidRPr="00785EA0">
          <w:rPr>
            <w:rStyle w:val="Kpr"/>
            <w:sz w:val="24"/>
            <w:lang w:val="tr-TR"/>
          </w:rPr>
          <w:t>http://weather.uwyo.edu/upperair/sounding.html</w:t>
        </w:r>
      </w:hyperlink>
      <w:r w:rsidR="00503E1F">
        <w:t xml:space="preserve"> </w:t>
      </w:r>
    </w:p>
    <w:sectPr w:rsidR="00E34E89" w:rsidRPr="00BF0DC7" w:rsidSect="002E6011">
      <w:headerReference w:type="first" r:id="rId14"/>
      <w:pgSz w:w="11906" w:h="16838"/>
      <w:pgMar w:top="1752" w:right="1701" w:bottom="1985" w:left="1701" w:header="284" w:footer="708"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7CBD" w14:textId="77777777" w:rsidR="001032A2" w:rsidRDefault="001032A2" w:rsidP="000C117D">
      <w:r>
        <w:separator/>
      </w:r>
    </w:p>
  </w:endnote>
  <w:endnote w:type="continuationSeparator" w:id="0">
    <w:p w14:paraId="570F0856" w14:textId="77777777" w:rsidR="001032A2" w:rsidRDefault="001032A2" w:rsidP="000C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F9DFFFFF" w:usb2="0000007F" w:usb3="00000000" w:csb0="003F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5D6E" w14:textId="77777777" w:rsidR="001032A2" w:rsidRDefault="001032A2" w:rsidP="000C117D">
      <w:r>
        <w:separator/>
      </w:r>
    </w:p>
  </w:footnote>
  <w:footnote w:type="continuationSeparator" w:id="0">
    <w:p w14:paraId="0E2CAF51" w14:textId="77777777" w:rsidR="001032A2" w:rsidRDefault="001032A2" w:rsidP="000C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A1B6" w14:textId="77777777" w:rsidR="002E6011" w:rsidRDefault="002E6011" w:rsidP="002E6011">
    <w:pPr>
      <w:pStyle w:val="stBilgi"/>
      <w:jc w:val="center"/>
    </w:pPr>
    <w:r>
      <w:rPr>
        <w:noProof/>
      </w:rPr>
      <w:drawing>
        <wp:inline distT="0" distB="0" distL="0" distR="0" wp14:anchorId="2FC12DC7" wp14:editId="2105FC71">
          <wp:extent cx="762935" cy="428924"/>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66944" name="Resim 2025366944"/>
                  <pic:cNvPicPr/>
                </pic:nvPicPr>
                <pic:blipFill>
                  <a:blip r:embed="rId1">
                    <a:extLst>
                      <a:ext uri="{28A0092B-C50C-407E-A947-70E740481C1C}">
                        <a14:useLocalDpi xmlns:a14="http://schemas.microsoft.com/office/drawing/2010/main" val="0"/>
                      </a:ext>
                    </a:extLst>
                  </a:blip>
                  <a:stretch>
                    <a:fillRect/>
                  </a:stretch>
                </pic:blipFill>
                <pic:spPr>
                  <a:xfrm>
                    <a:off x="0" y="0"/>
                    <a:ext cx="812736" cy="456923"/>
                  </a:xfrm>
                  <a:prstGeom prst="rect">
                    <a:avLst/>
                  </a:prstGeom>
                </pic:spPr>
              </pic:pic>
            </a:graphicData>
          </a:graphic>
        </wp:inline>
      </w:drawing>
    </w:r>
  </w:p>
  <w:p w14:paraId="6D1B2F2A" w14:textId="4A2AF703" w:rsidR="0098670F" w:rsidRDefault="0098670F" w:rsidP="002E6011">
    <w:pPr>
      <w:pStyle w:val="stBilgi"/>
      <w:jc w:val="center"/>
      <w:rPr>
        <w:sz w:val="18"/>
        <w:szCs w:val="20"/>
        <w:lang w:val="tr-TR"/>
      </w:rPr>
    </w:pPr>
    <w:r w:rsidRPr="0098670F">
      <w:rPr>
        <w:sz w:val="18"/>
        <w:szCs w:val="20"/>
        <w:lang w:val="tr-TR"/>
      </w:rPr>
      <w:t>1</w:t>
    </w:r>
    <w:r w:rsidRPr="0098670F">
      <w:rPr>
        <w:sz w:val="18"/>
        <w:szCs w:val="20"/>
        <w:vertAlign w:val="superscript"/>
        <w:lang w:val="tr-TR"/>
      </w:rPr>
      <w:t>st</w:t>
    </w:r>
    <w:r w:rsidRPr="0098670F">
      <w:rPr>
        <w:sz w:val="18"/>
        <w:szCs w:val="20"/>
        <w:lang w:val="tr-TR"/>
      </w:rPr>
      <w:t xml:space="preserve"> Aviation Meteorology 360° Symposium &amp; Workshop</w:t>
    </w:r>
    <w:r>
      <w:rPr>
        <w:sz w:val="18"/>
        <w:szCs w:val="20"/>
        <w:lang w:val="tr-TR"/>
      </w:rPr>
      <w:t>,</w:t>
    </w:r>
    <w:r w:rsidRPr="0098670F">
      <w:rPr>
        <w:sz w:val="18"/>
        <w:szCs w:val="20"/>
        <w:lang w:val="tr-TR"/>
      </w:rPr>
      <w:t xml:space="preserve"> </w:t>
    </w:r>
  </w:p>
  <w:p w14:paraId="753C3261" w14:textId="19FB1D9F" w:rsidR="002E6011" w:rsidRDefault="0098670F" w:rsidP="0098670F">
    <w:pPr>
      <w:pStyle w:val="stBilgi"/>
      <w:jc w:val="center"/>
    </w:pPr>
    <w:r w:rsidRPr="0098670F">
      <w:rPr>
        <w:sz w:val="18"/>
        <w:szCs w:val="20"/>
      </w:rPr>
      <w:t xml:space="preserve">24–26 November 2025, ITU Ayazağa Campus, </w:t>
    </w:r>
    <w:r w:rsidR="001144E6">
      <w:rPr>
        <w:sz w:val="18"/>
        <w:szCs w:val="20"/>
      </w:rPr>
      <w:t xml:space="preserve">34469, </w:t>
    </w:r>
    <w:r w:rsidRPr="0098670F">
      <w:rPr>
        <w:sz w:val="18"/>
        <w:szCs w:val="20"/>
      </w:rPr>
      <w:t>Maslak, Istanbul, 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01764"/>
    <w:lvl w:ilvl="0">
      <w:start w:val="1"/>
      <w:numFmt w:val="decimal"/>
      <w:pStyle w:val="ListeNumaras"/>
      <w:lvlText w:val="%1."/>
      <w:lvlJc w:val="left"/>
      <w:pPr>
        <w:tabs>
          <w:tab w:val="num" w:pos="360"/>
        </w:tabs>
        <w:ind w:left="360" w:hanging="360"/>
      </w:pPr>
    </w:lvl>
  </w:abstractNum>
  <w:abstractNum w:abstractNumId="1" w15:restartNumberingAfterBreak="0">
    <w:nsid w:val="00000001"/>
    <w:multiLevelType w:val="multilevel"/>
    <w:tmpl w:val="1CF41A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8016DF9"/>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2ACE4D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4516062">
    <w:abstractNumId w:val="1"/>
  </w:num>
  <w:num w:numId="2" w16cid:durableId="1677686477">
    <w:abstractNumId w:val="0"/>
  </w:num>
  <w:num w:numId="3" w16cid:durableId="248734985">
    <w:abstractNumId w:val="3"/>
  </w:num>
  <w:num w:numId="4" w16cid:durableId="21655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xtzC2NDMxNrcwNTRX0lEKTi0uzszPAykwrAUAni+PmywAAAA="/>
  </w:docVars>
  <w:rsids>
    <w:rsidRoot w:val="00171698"/>
    <w:rsid w:val="000054C1"/>
    <w:rsid w:val="000149E9"/>
    <w:rsid w:val="000402CC"/>
    <w:rsid w:val="00074E13"/>
    <w:rsid w:val="000C117D"/>
    <w:rsid w:val="000D2258"/>
    <w:rsid w:val="001032A2"/>
    <w:rsid w:val="00106DDF"/>
    <w:rsid w:val="001144E6"/>
    <w:rsid w:val="001261B7"/>
    <w:rsid w:val="001379C1"/>
    <w:rsid w:val="00171698"/>
    <w:rsid w:val="00187067"/>
    <w:rsid w:val="00271F18"/>
    <w:rsid w:val="00291ED1"/>
    <w:rsid w:val="002B1E46"/>
    <w:rsid w:val="002C1CDF"/>
    <w:rsid w:val="002C3D99"/>
    <w:rsid w:val="002C5DD9"/>
    <w:rsid w:val="002E6011"/>
    <w:rsid w:val="00311189"/>
    <w:rsid w:val="00314204"/>
    <w:rsid w:val="0031516A"/>
    <w:rsid w:val="00383918"/>
    <w:rsid w:val="00393DB5"/>
    <w:rsid w:val="003B5FB8"/>
    <w:rsid w:val="003E1842"/>
    <w:rsid w:val="004502E7"/>
    <w:rsid w:val="00452C18"/>
    <w:rsid w:val="00467221"/>
    <w:rsid w:val="004B220F"/>
    <w:rsid w:val="004D771A"/>
    <w:rsid w:val="00503E1F"/>
    <w:rsid w:val="0055451F"/>
    <w:rsid w:val="00594793"/>
    <w:rsid w:val="005B484F"/>
    <w:rsid w:val="005C7903"/>
    <w:rsid w:val="005D1A5B"/>
    <w:rsid w:val="005E1E95"/>
    <w:rsid w:val="0061782C"/>
    <w:rsid w:val="006363C9"/>
    <w:rsid w:val="0064749C"/>
    <w:rsid w:val="00672F4A"/>
    <w:rsid w:val="006C5B7E"/>
    <w:rsid w:val="006F048B"/>
    <w:rsid w:val="006F45D1"/>
    <w:rsid w:val="00730E3E"/>
    <w:rsid w:val="00785EA0"/>
    <w:rsid w:val="00787E47"/>
    <w:rsid w:val="007A3C92"/>
    <w:rsid w:val="007D3DDF"/>
    <w:rsid w:val="008275C2"/>
    <w:rsid w:val="00833C68"/>
    <w:rsid w:val="008559FF"/>
    <w:rsid w:val="008854D9"/>
    <w:rsid w:val="0089016D"/>
    <w:rsid w:val="008B6BC3"/>
    <w:rsid w:val="008E77FC"/>
    <w:rsid w:val="009006BA"/>
    <w:rsid w:val="00951BF3"/>
    <w:rsid w:val="00953C7B"/>
    <w:rsid w:val="009724CD"/>
    <w:rsid w:val="0098670F"/>
    <w:rsid w:val="009E6771"/>
    <w:rsid w:val="00A034CA"/>
    <w:rsid w:val="00A46D18"/>
    <w:rsid w:val="00A84CF0"/>
    <w:rsid w:val="00A9315F"/>
    <w:rsid w:val="00B113EA"/>
    <w:rsid w:val="00B135B9"/>
    <w:rsid w:val="00B14C9E"/>
    <w:rsid w:val="00B446BF"/>
    <w:rsid w:val="00B4583F"/>
    <w:rsid w:val="00B519C4"/>
    <w:rsid w:val="00B71C8E"/>
    <w:rsid w:val="00B834A9"/>
    <w:rsid w:val="00B839C3"/>
    <w:rsid w:val="00BE45C9"/>
    <w:rsid w:val="00BF0DC7"/>
    <w:rsid w:val="00BF4A23"/>
    <w:rsid w:val="00C15A6B"/>
    <w:rsid w:val="00C270FA"/>
    <w:rsid w:val="00C33C1D"/>
    <w:rsid w:val="00C66690"/>
    <w:rsid w:val="00CE381B"/>
    <w:rsid w:val="00CF648F"/>
    <w:rsid w:val="00D621DD"/>
    <w:rsid w:val="00DA370E"/>
    <w:rsid w:val="00DC6BE7"/>
    <w:rsid w:val="00E00BA3"/>
    <w:rsid w:val="00E26947"/>
    <w:rsid w:val="00E33C70"/>
    <w:rsid w:val="00E34E89"/>
    <w:rsid w:val="00E619F1"/>
    <w:rsid w:val="00E80380"/>
    <w:rsid w:val="00E829DB"/>
    <w:rsid w:val="00EC3C0B"/>
    <w:rsid w:val="00EF62EE"/>
    <w:rsid w:val="00F3277E"/>
    <w:rsid w:val="00F3532E"/>
    <w:rsid w:val="00F36258"/>
    <w:rsid w:val="00F72D2C"/>
    <w:rsid w:val="00F76D2E"/>
    <w:rsid w:val="00FB2D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E423B4"/>
  <w15:chartTrackingRefBased/>
  <w15:docId w15:val="{4B9DBDDF-3C05-4B70-9FF8-F891D6CD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lang w:val="en-GB" w:eastAsia="ar-SA"/>
    </w:rPr>
  </w:style>
  <w:style w:type="paragraph" w:styleId="Balk1">
    <w:name w:val="heading 1"/>
    <w:basedOn w:val="Normal"/>
    <w:next w:val="GvdeMetni"/>
    <w:qFormat/>
    <w:pPr>
      <w:keepNext/>
      <w:numPr>
        <w:numId w:val="4"/>
      </w:numPr>
      <w:outlineLvl w:val="0"/>
    </w:pPr>
    <w:rPr>
      <w:rFonts w:cs="Arial"/>
      <w:b/>
      <w:bCs/>
      <w:caps/>
      <w:kern w:val="1"/>
      <w:szCs w:val="32"/>
    </w:rPr>
  </w:style>
  <w:style w:type="paragraph" w:styleId="Balk2">
    <w:name w:val="heading 2"/>
    <w:basedOn w:val="Normal"/>
    <w:next w:val="GvdeMetni"/>
    <w:link w:val="Balk2Char"/>
    <w:qFormat/>
    <w:pPr>
      <w:keepNext/>
      <w:numPr>
        <w:ilvl w:val="1"/>
        <w:numId w:val="4"/>
      </w:numPr>
      <w:outlineLvl w:val="1"/>
    </w:pPr>
    <w:rPr>
      <w:rFonts w:cs="Arial"/>
      <w:b/>
      <w:bCs/>
      <w:iCs/>
      <w:szCs w:val="28"/>
    </w:rPr>
  </w:style>
  <w:style w:type="paragraph" w:styleId="Balk3">
    <w:name w:val="heading 3"/>
    <w:basedOn w:val="Normal"/>
    <w:next w:val="GvdeMetni"/>
    <w:qFormat/>
    <w:pPr>
      <w:keepNext/>
      <w:numPr>
        <w:ilvl w:val="2"/>
        <w:numId w:val="4"/>
      </w:numPr>
      <w:outlineLvl w:val="2"/>
    </w:pPr>
    <w:rPr>
      <w:rFonts w:cs="Arial"/>
      <w:bCs/>
      <w:szCs w:val="26"/>
    </w:rPr>
  </w:style>
  <w:style w:type="paragraph" w:styleId="Balk4">
    <w:name w:val="heading 4"/>
    <w:basedOn w:val="Normal"/>
    <w:next w:val="Normal"/>
    <w:qFormat/>
    <w:pPr>
      <w:keepNext/>
      <w:numPr>
        <w:ilvl w:val="3"/>
        <w:numId w:val="4"/>
      </w:numPr>
      <w:outlineLvl w:val="3"/>
    </w:pPr>
    <w:rPr>
      <w:bCs/>
      <w:szCs w:val="28"/>
    </w:rPr>
  </w:style>
  <w:style w:type="paragraph" w:styleId="Balk5">
    <w:name w:val="heading 5"/>
    <w:basedOn w:val="Normal"/>
    <w:next w:val="Normal"/>
    <w:qFormat/>
    <w:pPr>
      <w:numPr>
        <w:ilvl w:val="4"/>
        <w:numId w:val="4"/>
      </w:numPr>
      <w:outlineLvl w:val="4"/>
    </w:pPr>
    <w:rPr>
      <w:bCs/>
      <w:iCs/>
      <w:szCs w:val="26"/>
    </w:rPr>
  </w:style>
  <w:style w:type="paragraph" w:styleId="Balk6">
    <w:name w:val="heading 6"/>
    <w:basedOn w:val="Normal"/>
    <w:next w:val="Normal"/>
    <w:qFormat/>
    <w:pPr>
      <w:numPr>
        <w:ilvl w:val="5"/>
        <w:numId w:val="4"/>
      </w:numPr>
      <w:spacing w:before="240" w:after="60"/>
      <w:outlineLvl w:val="5"/>
    </w:pPr>
    <w:rPr>
      <w:b/>
      <w:bCs/>
      <w:sz w:val="22"/>
      <w:szCs w:val="22"/>
    </w:rPr>
  </w:style>
  <w:style w:type="paragraph" w:styleId="Balk7">
    <w:name w:val="heading 7"/>
    <w:basedOn w:val="Normal"/>
    <w:next w:val="Normal"/>
    <w:qFormat/>
    <w:pPr>
      <w:numPr>
        <w:ilvl w:val="6"/>
        <w:numId w:val="4"/>
      </w:numPr>
      <w:spacing w:before="240" w:after="60"/>
      <w:outlineLvl w:val="6"/>
    </w:pPr>
  </w:style>
  <w:style w:type="paragraph" w:styleId="Balk8">
    <w:name w:val="heading 8"/>
    <w:basedOn w:val="Normal"/>
    <w:next w:val="Normal"/>
    <w:qFormat/>
    <w:pPr>
      <w:numPr>
        <w:ilvl w:val="7"/>
        <w:numId w:val="4"/>
      </w:numPr>
      <w:spacing w:before="240" w:after="60"/>
      <w:outlineLvl w:val="7"/>
    </w:pPr>
    <w:rPr>
      <w:i/>
      <w:iCs/>
    </w:rPr>
  </w:style>
  <w:style w:type="paragraph" w:styleId="Balk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BodyTextChar">
    <w:name w:val="Body Text Char"/>
    <w:rPr>
      <w:sz w:val="18"/>
      <w:szCs w:val="18"/>
      <w:lang w:val="en-GB" w:eastAsia="ar-SA" w:bidi="ar-SA"/>
    </w:rPr>
  </w:style>
  <w:style w:type="character" w:customStyle="1" w:styleId="WW-DefaultParagraphFont">
    <w:name w:val="WW-Default Paragraph Font"/>
  </w:style>
  <w:style w:type="character" w:styleId="Kpr">
    <w:name w:val="Hyperlink"/>
    <w:rPr>
      <w:color w:val="0000FF"/>
      <w:u w:val="single"/>
    </w:rPr>
  </w:style>
  <w:style w:type="character" w:styleId="zlenenKpr">
    <w:name w:val="FollowedHyperlink"/>
    <w:rPr>
      <w:color w:val="800080"/>
      <w:u w:val="single"/>
    </w:rPr>
  </w:style>
  <w:style w:type="character" w:customStyle="1" w:styleId="AbstractChar">
    <w:name w:val="Abstract Char"/>
    <w:rPr>
      <w:sz w:val="16"/>
      <w:szCs w:val="18"/>
      <w:lang w:val="en-GB" w:eastAsia="ar-SA" w:bidi="ar-SA"/>
    </w:rPr>
  </w:style>
  <w:style w:type="paragraph" w:customStyle="1" w:styleId="Heading">
    <w:name w:val="Heading"/>
    <w:basedOn w:val="Normal"/>
    <w:next w:val="GvdeMetni"/>
    <w:pPr>
      <w:keepNext/>
      <w:spacing w:before="240" w:after="120"/>
    </w:pPr>
    <w:rPr>
      <w:rFonts w:ascii="Arial" w:eastAsia="Arial Unicode MS" w:hAnsi="Arial" w:cs="Mangal"/>
      <w:sz w:val="28"/>
      <w:szCs w:val="28"/>
    </w:rPr>
  </w:style>
  <w:style w:type="paragraph" w:styleId="GvdeMetni">
    <w:name w:val="Body Text"/>
    <w:basedOn w:val="Normal"/>
    <w:link w:val="GvdeMetniChar"/>
    <w:pPr>
      <w:tabs>
        <w:tab w:val="left" w:pos="284"/>
      </w:tabs>
      <w:jc w:val="both"/>
    </w:pPr>
    <w:rPr>
      <w:szCs w:val="18"/>
    </w:rPr>
  </w:style>
  <w:style w:type="paragraph" w:styleId="Liste">
    <w:name w:val="List"/>
    <w:basedOn w:val="GvdeMetni"/>
  </w:style>
  <w:style w:type="paragraph" w:styleId="ResimYazs">
    <w:name w:val="caption"/>
    <w:basedOn w:val="Normal"/>
    <w:next w:val="Normal"/>
    <w:qFormat/>
    <w:pPr>
      <w:spacing w:before="60"/>
    </w:pPr>
    <w:rPr>
      <w:bCs/>
      <w:sz w:val="18"/>
      <w:szCs w:val="20"/>
    </w:rPr>
  </w:style>
  <w:style w:type="paragraph" w:customStyle="1" w:styleId="Index">
    <w:name w:val="Index"/>
    <w:basedOn w:val="Normal"/>
    <w:pPr>
      <w:suppressLineNumbers/>
    </w:pPr>
  </w:style>
  <w:style w:type="paragraph" w:styleId="KonuBal">
    <w:name w:val="Title"/>
    <w:basedOn w:val="Normal"/>
    <w:next w:val="Altyaz"/>
    <w:qFormat/>
    <w:pPr>
      <w:jc w:val="center"/>
    </w:pPr>
    <w:rPr>
      <w:b/>
      <w:caps/>
    </w:rPr>
  </w:style>
  <w:style w:type="paragraph" w:styleId="Altyaz">
    <w:name w:val="Subtitle"/>
    <w:basedOn w:val="Normal"/>
    <w:next w:val="GvdeMetni"/>
    <w:qFormat/>
    <w:pPr>
      <w:jc w:val="center"/>
    </w:pPr>
    <w:rPr>
      <w:sz w:val="28"/>
    </w:rPr>
  </w:style>
  <w:style w:type="paragraph" w:customStyle="1" w:styleId="Author">
    <w:name w:val="Author"/>
    <w:basedOn w:val="Normal"/>
    <w:next w:val="Normal"/>
    <w:pPr>
      <w:jc w:val="center"/>
    </w:pPr>
    <w:rPr>
      <w:i/>
      <w:iCs/>
    </w:rPr>
  </w:style>
  <w:style w:type="paragraph" w:styleId="GvdeMetni2">
    <w:name w:val="Body Text 2"/>
    <w:basedOn w:val="Normal"/>
    <w:pPr>
      <w:keepNext/>
      <w:jc w:val="both"/>
    </w:pPr>
  </w:style>
  <w:style w:type="paragraph" w:styleId="stBilgi">
    <w:name w:val="header"/>
    <w:basedOn w:val="Normal"/>
    <w:link w:val="stBilgiChar"/>
    <w:uiPriority w:val="99"/>
    <w:pPr>
      <w:tabs>
        <w:tab w:val="center" w:pos="4153"/>
        <w:tab w:val="right" w:pos="8306"/>
      </w:tabs>
    </w:pPr>
  </w:style>
  <w:style w:type="paragraph" w:customStyle="1" w:styleId="References">
    <w:name w:val="References"/>
    <w:basedOn w:val="GvdeMetni"/>
    <w:pPr>
      <w:ind w:left="720" w:hanging="720"/>
    </w:pPr>
  </w:style>
  <w:style w:type="paragraph" w:styleId="AltBilgi">
    <w:name w:val="footer"/>
    <w:basedOn w:val="Normal"/>
    <w:pPr>
      <w:tabs>
        <w:tab w:val="center" w:pos="4153"/>
        <w:tab w:val="right" w:pos="8306"/>
      </w:tabs>
    </w:pPr>
  </w:style>
  <w:style w:type="paragraph" w:customStyle="1" w:styleId="TableContents">
    <w:name w:val="Table Contents"/>
    <w:basedOn w:val="Normal"/>
    <w:pPr>
      <w:suppressLineNumbers/>
    </w:pPr>
    <w:rPr>
      <w:rFonts w:ascii="Arial" w:hAnsi="Arial" w:cs="Arial"/>
      <w:sz w:val="18"/>
    </w:rPr>
  </w:style>
  <w:style w:type="paragraph" w:customStyle="1" w:styleId="TableHeading">
    <w:name w:val="Table Heading"/>
    <w:basedOn w:val="TableContents"/>
    <w:pPr>
      <w:jc w:val="center"/>
    </w:pPr>
    <w:rPr>
      <w:b/>
      <w:bCs/>
    </w:rPr>
  </w:style>
  <w:style w:type="paragraph" w:customStyle="1" w:styleId="Abstract">
    <w:name w:val="Abstract"/>
    <w:basedOn w:val="GvdeMetni"/>
    <w:rPr>
      <w:sz w:val="18"/>
    </w:rPr>
  </w:style>
  <w:style w:type="paragraph" w:customStyle="1" w:styleId="Keywords">
    <w:name w:val="Keywords"/>
    <w:basedOn w:val="GvdeMetni"/>
    <w:next w:val="GvdeMetni"/>
    <w:rPr>
      <w:i/>
      <w:iCs/>
      <w:sz w:val="18"/>
    </w:rPr>
  </w:style>
  <w:style w:type="paragraph" w:customStyle="1" w:styleId="WW-Default">
    <w:name w:val="WW-Default"/>
    <w:pPr>
      <w:suppressAutoHyphens/>
      <w:autoSpaceDE w:val="0"/>
    </w:pPr>
    <w:rPr>
      <w:color w:val="000000"/>
      <w:sz w:val="24"/>
      <w:szCs w:val="24"/>
      <w:lang w:val="en-US" w:eastAsia="ar-SA"/>
    </w:rPr>
  </w:style>
  <w:style w:type="paragraph" w:styleId="ListeNumaras">
    <w:name w:val="List Number"/>
    <w:basedOn w:val="Normal"/>
    <w:uiPriority w:val="99"/>
    <w:unhideWhenUsed/>
    <w:rsid w:val="00187067"/>
    <w:pPr>
      <w:numPr>
        <w:numId w:val="2"/>
      </w:numPr>
      <w:contextualSpacing/>
    </w:pPr>
  </w:style>
  <w:style w:type="character" w:customStyle="1" w:styleId="stBilgiChar">
    <w:name w:val="Üst Bilgi Char"/>
    <w:link w:val="stBilgi"/>
    <w:uiPriority w:val="99"/>
    <w:rsid w:val="000C117D"/>
    <w:rPr>
      <w:szCs w:val="24"/>
      <w:lang w:val="en-GB" w:eastAsia="ar-SA"/>
    </w:rPr>
  </w:style>
  <w:style w:type="character" w:styleId="zmlenmeyenBahsetme">
    <w:name w:val="Unresolved Mention"/>
    <w:basedOn w:val="VarsaylanParagrafYazTipi"/>
    <w:uiPriority w:val="99"/>
    <w:semiHidden/>
    <w:unhideWhenUsed/>
    <w:rsid w:val="008559FF"/>
    <w:rPr>
      <w:color w:val="605E5C"/>
      <w:shd w:val="clear" w:color="auto" w:fill="E1DFDD"/>
    </w:rPr>
  </w:style>
  <w:style w:type="paragraph" w:customStyle="1" w:styleId="abstract0">
    <w:name w:val="abstract"/>
    <w:basedOn w:val="Normal"/>
    <w:next w:val="Keywords"/>
    <w:rsid w:val="00A46D18"/>
    <w:pPr>
      <w:suppressAutoHyphens w:val="0"/>
      <w:spacing w:before="120" w:after="160" w:line="259" w:lineRule="auto"/>
    </w:pPr>
    <w:rPr>
      <w:rFonts w:ascii="Calibri" w:eastAsia="Calibri" w:hAnsi="Calibri"/>
      <w:kern w:val="2"/>
      <w:szCs w:val="22"/>
      <w:lang w:eastAsia="en-US"/>
    </w:rPr>
  </w:style>
  <w:style w:type="paragraph" w:styleId="Dzeltme">
    <w:name w:val="Revision"/>
    <w:hidden/>
    <w:uiPriority w:val="99"/>
    <w:semiHidden/>
    <w:rsid w:val="004D771A"/>
    <w:rPr>
      <w:szCs w:val="24"/>
      <w:lang w:val="en-GB" w:eastAsia="ar-SA"/>
    </w:rPr>
  </w:style>
  <w:style w:type="paragraph" w:styleId="BalonMetni">
    <w:name w:val="Balloon Text"/>
    <w:basedOn w:val="Normal"/>
    <w:link w:val="BalonMetniChar"/>
    <w:uiPriority w:val="99"/>
    <w:semiHidden/>
    <w:unhideWhenUsed/>
    <w:rsid w:val="00452C1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2C18"/>
    <w:rPr>
      <w:rFonts w:ascii="Segoe UI" w:hAnsi="Segoe UI" w:cs="Segoe UI"/>
      <w:sz w:val="18"/>
      <w:szCs w:val="18"/>
      <w:lang w:val="en-GB" w:eastAsia="ar-SA"/>
    </w:rPr>
  </w:style>
  <w:style w:type="character" w:styleId="YerTutucuMetni">
    <w:name w:val="Placeholder Text"/>
    <w:basedOn w:val="VarsaylanParagrafYazTipi"/>
    <w:uiPriority w:val="99"/>
    <w:semiHidden/>
    <w:rsid w:val="00106DDF"/>
    <w:rPr>
      <w:color w:val="808080"/>
    </w:rPr>
  </w:style>
  <w:style w:type="paragraph" w:styleId="NormalWeb">
    <w:name w:val="Normal (Web)"/>
    <w:basedOn w:val="Normal"/>
    <w:uiPriority w:val="99"/>
    <w:semiHidden/>
    <w:unhideWhenUsed/>
    <w:rsid w:val="008B6BC3"/>
    <w:pPr>
      <w:suppressAutoHyphens w:val="0"/>
      <w:spacing w:before="100" w:beforeAutospacing="1" w:after="100" w:afterAutospacing="1"/>
    </w:pPr>
    <w:rPr>
      <w:sz w:val="24"/>
      <w:lang w:val="tr-TR" w:eastAsia="tr-TR"/>
    </w:rPr>
  </w:style>
  <w:style w:type="character" w:styleId="Gl">
    <w:name w:val="Strong"/>
    <w:basedOn w:val="VarsaylanParagrafYazTipi"/>
    <w:uiPriority w:val="22"/>
    <w:qFormat/>
    <w:rsid w:val="008B6BC3"/>
    <w:rPr>
      <w:b/>
      <w:bCs/>
    </w:rPr>
  </w:style>
  <w:style w:type="character" w:styleId="Vurgu">
    <w:name w:val="Emphasis"/>
    <w:basedOn w:val="VarsaylanParagrafYazTipi"/>
    <w:uiPriority w:val="20"/>
    <w:qFormat/>
    <w:rsid w:val="008B6BC3"/>
    <w:rPr>
      <w:i/>
      <w:iCs/>
    </w:rPr>
  </w:style>
  <w:style w:type="character" w:customStyle="1" w:styleId="Balk2Char">
    <w:name w:val="Başlık 2 Char"/>
    <w:basedOn w:val="VarsaylanParagrafYazTipi"/>
    <w:link w:val="Balk2"/>
    <w:rsid w:val="00A84CF0"/>
    <w:rPr>
      <w:rFonts w:cs="Arial"/>
      <w:b/>
      <w:bCs/>
      <w:iCs/>
      <w:szCs w:val="28"/>
      <w:lang w:val="en-GB" w:eastAsia="ar-SA"/>
    </w:rPr>
  </w:style>
  <w:style w:type="character" w:customStyle="1" w:styleId="GvdeMetniChar">
    <w:name w:val="Gövde Metni Char"/>
    <w:basedOn w:val="VarsaylanParagrafYazTipi"/>
    <w:link w:val="GvdeMetni"/>
    <w:rsid w:val="00A84CF0"/>
    <w:rPr>
      <w:szCs w:val="18"/>
      <w:lang w:val="en-GB" w:eastAsia="ar-SA"/>
    </w:rPr>
  </w:style>
  <w:style w:type="paragraph" w:styleId="ListeParagraf">
    <w:name w:val="List Paragraph"/>
    <w:basedOn w:val="Normal"/>
    <w:uiPriority w:val="34"/>
    <w:qFormat/>
    <w:rsid w:val="00F72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8756">
      <w:bodyDiv w:val="1"/>
      <w:marLeft w:val="0"/>
      <w:marRight w:val="0"/>
      <w:marTop w:val="0"/>
      <w:marBottom w:val="0"/>
      <w:divBdr>
        <w:top w:val="none" w:sz="0" w:space="0" w:color="auto"/>
        <w:left w:val="none" w:sz="0" w:space="0" w:color="auto"/>
        <w:bottom w:val="none" w:sz="0" w:space="0" w:color="auto"/>
        <w:right w:val="none" w:sz="0" w:space="0" w:color="auto"/>
      </w:divBdr>
    </w:div>
    <w:div w:id="227883270">
      <w:bodyDiv w:val="1"/>
      <w:marLeft w:val="0"/>
      <w:marRight w:val="0"/>
      <w:marTop w:val="0"/>
      <w:marBottom w:val="0"/>
      <w:divBdr>
        <w:top w:val="none" w:sz="0" w:space="0" w:color="auto"/>
        <w:left w:val="none" w:sz="0" w:space="0" w:color="auto"/>
        <w:bottom w:val="none" w:sz="0" w:space="0" w:color="auto"/>
        <w:right w:val="none" w:sz="0" w:space="0" w:color="auto"/>
      </w:divBdr>
    </w:div>
    <w:div w:id="410588574">
      <w:bodyDiv w:val="1"/>
      <w:marLeft w:val="0"/>
      <w:marRight w:val="0"/>
      <w:marTop w:val="0"/>
      <w:marBottom w:val="0"/>
      <w:divBdr>
        <w:top w:val="none" w:sz="0" w:space="0" w:color="auto"/>
        <w:left w:val="none" w:sz="0" w:space="0" w:color="auto"/>
        <w:bottom w:val="none" w:sz="0" w:space="0" w:color="auto"/>
        <w:right w:val="none" w:sz="0" w:space="0" w:color="auto"/>
      </w:divBdr>
    </w:div>
    <w:div w:id="446773830">
      <w:bodyDiv w:val="1"/>
      <w:marLeft w:val="0"/>
      <w:marRight w:val="0"/>
      <w:marTop w:val="0"/>
      <w:marBottom w:val="0"/>
      <w:divBdr>
        <w:top w:val="none" w:sz="0" w:space="0" w:color="auto"/>
        <w:left w:val="none" w:sz="0" w:space="0" w:color="auto"/>
        <w:bottom w:val="none" w:sz="0" w:space="0" w:color="auto"/>
        <w:right w:val="none" w:sz="0" w:space="0" w:color="auto"/>
      </w:divBdr>
    </w:div>
    <w:div w:id="451705482">
      <w:bodyDiv w:val="1"/>
      <w:marLeft w:val="0"/>
      <w:marRight w:val="0"/>
      <w:marTop w:val="0"/>
      <w:marBottom w:val="0"/>
      <w:divBdr>
        <w:top w:val="none" w:sz="0" w:space="0" w:color="auto"/>
        <w:left w:val="none" w:sz="0" w:space="0" w:color="auto"/>
        <w:bottom w:val="none" w:sz="0" w:space="0" w:color="auto"/>
        <w:right w:val="none" w:sz="0" w:space="0" w:color="auto"/>
      </w:divBdr>
      <w:divsChild>
        <w:div w:id="78750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05245">
      <w:bodyDiv w:val="1"/>
      <w:marLeft w:val="0"/>
      <w:marRight w:val="0"/>
      <w:marTop w:val="0"/>
      <w:marBottom w:val="0"/>
      <w:divBdr>
        <w:top w:val="none" w:sz="0" w:space="0" w:color="auto"/>
        <w:left w:val="none" w:sz="0" w:space="0" w:color="auto"/>
        <w:bottom w:val="none" w:sz="0" w:space="0" w:color="auto"/>
        <w:right w:val="none" w:sz="0" w:space="0" w:color="auto"/>
      </w:divBdr>
    </w:div>
    <w:div w:id="836386130">
      <w:bodyDiv w:val="1"/>
      <w:marLeft w:val="0"/>
      <w:marRight w:val="0"/>
      <w:marTop w:val="0"/>
      <w:marBottom w:val="0"/>
      <w:divBdr>
        <w:top w:val="none" w:sz="0" w:space="0" w:color="auto"/>
        <w:left w:val="none" w:sz="0" w:space="0" w:color="auto"/>
        <w:bottom w:val="none" w:sz="0" w:space="0" w:color="auto"/>
        <w:right w:val="none" w:sz="0" w:space="0" w:color="auto"/>
      </w:divBdr>
    </w:div>
    <w:div w:id="940069794">
      <w:bodyDiv w:val="1"/>
      <w:marLeft w:val="0"/>
      <w:marRight w:val="0"/>
      <w:marTop w:val="0"/>
      <w:marBottom w:val="0"/>
      <w:divBdr>
        <w:top w:val="none" w:sz="0" w:space="0" w:color="auto"/>
        <w:left w:val="none" w:sz="0" w:space="0" w:color="auto"/>
        <w:bottom w:val="none" w:sz="0" w:space="0" w:color="auto"/>
        <w:right w:val="none" w:sz="0" w:space="0" w:color="auto"/>
      </w:divBdr>
    </w:div>
    <w:div w:id="1071805557">
      <w:bodyDiv w:val="1"/>
      <w:marLeft w:val="0"/>
      <w:marRight w:val="0"/>
      <w:marTop w:val="0"/>
      <w:marBottom w:val="0"/>
      <w:divBdr>
        <w:top w:val="none" w:sz="0" w:space="0" w:color="auto"/>
        <w:left w:val="none" w:sz="0" w:space="0" w:color="auto"/>
        <w:bottom w:val="none" w:sz="0" w:space="0" w:color="auto"/>
        <w:right w:val="none" w:sz="0" w:space="0" w:color="auto"/>
      </w:divBdr>
      <w:divsChild>
        <w:div w:id="318971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427275">
      <w:bodyDiv w:val="1"/>
      <w:marLeft w:val="0"/>
      <w:marRight w:val="0"/>
      <w:marTop w:val="0"/>
      <w:marBottom w:val="0"/>
      <w:divBdr>
        <w:top w:val="none" w:sz="0" w:space="0" w:color="auto"/>
        <w:left w:val="none" w:sz="0" w:space="0" w:color="auto"/>
        <w:bottom w:val="none" w:sz="0" w:space="0" w:color="auto"/>
        <w:right w:val="none" w:sz="0" w:space="0" w:color="auto"/>
      </w:divBdr>
      <w:divsChild>
        <w:div w:id="86050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475822">
      <w:bodyDiv w:val="1"/>
      <w:marLeft w:val="0"/>
      <w:marRight w:val="0"/>
      <w:marTop w:val="0"/>
      <w:marBottom w:val="0"/>
      <w:divBdr>
        <w:top w:val="none" w:sz="0" w:space="0" w:color="auto"/>
        <w:left w:val="none" w:sz="0" w:space="0" w:color="auto"/>
        <w:bottom w:val="none" w:sz="0" w:space="0" w:color="auto"/>
        <w:right w:val="none" w:sz="0" w:space="0" w:color="auto"/>
      </w:divBdr>
    </w:div>
    <w:div w:id="1275868751">
      <w:bodyDiv w:val="1"/>
      <w:marLeft w:val="0"/>
      <w:marRight w:val="0"/>
      <w:marTop w:val="0"/>
      <w:marBottom w:val="0"/>
      <w:divBdr>
        <w:top w:val="none" w:sz="0" w:space="0" w:color="auto"/>
        <w:left w:val="none" w:sz="0" w:space="0" w:color="auto"/>
        <w:bottom w:val="none" w:sz="0" w:space="0" w:color="auto"/>
        <w:right w:val="none" w:sz="0" w:space="0" w:color="auto"/>
      </w:divBdr>
    </w:div>
    <w:div w:id="1285648539">
      <w:bodyDiv w:val="1"/>
      <w:marLeft w:val="0"/>
      <w:marRight w:val="0"/>
      <w:marTop w:val="0"/>
      <w:marBottom w:val="0"/>
      <w:divBdr>
        <w:top w:val="none" w:sz="0" w:space="0" w:color="auto"/>
        <w:left w:val="none" w:sz="0" w:space="0" w:color="auto"/>
        <w:bottom w:val="none" w:sz="0" w:space="0" w:color="auto"/>
        <w:right w:val="none" w:sz="0" w:space="0" w:color="auto"/>
      </w:divBdr>
    </w:div>
    <w:div w:id="1290091050">
      <w:bodyDiv w:val="1"/>
      <w:marLeft w:val="0"/>
      <w:marRight w:val="0"/>
      <w:marTop w:val="0"/>
      <w:marBottom w:val="0"/>
      <w:divBdr>
        <w:top w:val="none" w:sz="0" w:space="0" w:color="auto"/>
        <w:left w:val="none" w:sz="0" w:space="0" w:color="auto"/>
        <w:bottom w:val="none" w:sz="0" w:space="0" w:color="auto"/>
        <w:right w:val="none" w:sz="0" w:space="0" w:color="auto"/>
      </w:divBdr>
    </w:div>
    <w:div w:id="1407728275">
      <w:bodyDiv w:val="1"/>
      <w:marLeft w:val="0"/>
      <w:marRight w:val="0"/>
      <w:marTop w:val="0"/>
      <w:marBottom w:val="0"/>
      <w:divBdr>
        <w:top w:val="none" w:sz="0" w:space="0" w:color="auto"/>
        <w:left w:val="none" w:sz="0" w:space="0" w:color="auto"/>
        <w:bottom w:val="none" w:sz="0" w:space="0" w:color="auto"/>
        <w:right w:val="none" w:sz="0" w:space="0" w:color="auto"/>
      </w:divBdr>
    </w:div>
    <w:div w:id="1451365015">
      <w:bodyDiv w:val="1"/>
      <w:marLeft w:val="0"/>
      <w:marRight w:val="0"/>
      <w:marTop w:val="0"/>
      <w:marBottom w:val="0"/>
      <w:divBdr>
        <w:top w:val="none" w:sz="0" w:space="0" w:color="auto"/>
        <w:left w:val="none" w:sz="0" w:space="0" w:color="auto"/>
        <w:bottom w:val="none" w:sz="0" w:space="0" w:color="auto"/>
        <w:right w:val="none" w:sz="0" w:space="0" w:color="auto"/>
      </w:divBdr>
    </w:div>
    <w:div w:id="1556814035">
      <w:bodyDiv w:val="1"/>
      <w:marLeft w:val="0"/>
      <w:marRight w:val="0"/>
      <w:marTop w:val="0"/>
      <w:marBottom w:val="0"/>
      <w:divBdr>
        <w:top w:val="none" w:sz="0" w:space="0" w:color="auto"/>
        <w:left w:val="none" w:sz="0" w:space="0" w:color="auto"/>
        <w:bottom w:val="none" w:sz="0" w:space="0" w:color="auto"/>
        <w:right w:val="none" w:sz="0" w:space="0" w:color="auto"/>
      </w:divBdr>
    </w:div>
    <w:div w:id="1600601944">
      <w:bodyDiv w:val="1"/>
      <w:marLeft w:val="0"/>
      <w:marRight w:val="0"/>
      <w:marTop w:val="0"/>
      <w:marBottom w:val="0"/>
      <w:divBdr>
        <w:top w:val="none" w:sz="0" w:space="0" w:color="auto"/>
        <w:left w:val="none" w:sz="0" w:space="0" w:color="auto"/>
        <w:bottom w:val="none" w:sz="0" w:space="0" w:color="auto"/>
        <w:right w:val="none" w:sz="0" w:space="0" w:color="auto"/>
      </w:divBdr>
    </w:div>
    <w:div w:id="1613898405">
      <w:bodyDiv w:val="1"/>
      <w:marLeft w:val="0"/>
      <w:marRight w:val="0"/>
      <w:marTop w:val="0"/>
      <w:marBottom w:val="0"/>
      <w:divBdr>
        <w:top w:val="none" w:sz="0" w:space="0" w:color="auto"/>
        <w:left w:val="none" w:sz="0" w:space="0" w:color="auto"/>
        <w:bottom w:val="none" w:sz="0" w:space="0" w:color="auto"/>
        <w:right w:val="none" w:sz="0" w:space="0" w:color="auto"/>
      </w:divBdr>
      <w:divsChild>
        <w:div w:id="173319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5763502">
      <w:bodyDiv w:val="1"/>
      <w:marLeft w:val="0"/>
      <w:marRight w:val="0"/>
      <w:marTop w:val="0"/>
      <w:marBottom w:val="0"/>
      <w:divBdr>
        <w:top w:val="none" w:sz="0" w:space="0" w:color="auto"/>
        <w:left w:val="none" w:sz="0" w:space="0" w:color="auto"/>
        <w:bottom w:val="none" w:sz="0" w:space="0" w:color="auto"/>
        <w:right w:val="none" w:sz="0" w:space="0" w:color="auto"/>
      </w:divBdr>
    </w:div>
    <w:div w:id="1707486742">
      <w:bodyDiv w:val="1"/>
      <w:marLeft w:val="0"/>
      <w:marRight w:val="0"/>
      <w:marTop w:val="0"/>
      <w:marBottom w:val="0"/>
      <w:divBdr>
        <w:top w:val="none" w:sz="0" w:space="0" w:color="auto"/>
        <w:left w:val="none" w:sz="0" w:space="0" w:color="auto"/>
        <w:bottom w:val="none" w:sz="0" w:space="0" w:color="auto"/>
        <w:right w:val="none" w:sz="0" w:space="0" w:color="auto"/>
      </w:divBdr>
      <w:divsChild>
        <w:div w:id="1469012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547486">
      <w:bodyDiv w:val="1"/>
      <w:marLeft w:val="0"/>
      <w:marRight w:val="0"/>
      <w:marTop w:val="0"/>
      <w:marBottom w:val="0"/>
      <w:divBdr>
        <w:top w:val="none" w:sz="0" w:space="0" w:color="auto"/>
        <w:left w:val="none" w:sz="0" w:space="0" w:color="auto"/>
        <w:bottom w:val="none" w:sz="0" w:space="0" w:color="auto"/>
        <w:right w:val="none" w:sz="0" w:space="0" w:color="auto"/>
      </w:divBdr>
    </w:div>
    <w:div w:id="2047102144">
      <w:bodyDiv w:val="1"/>
      <w:marLeft w:val="0"/>
      <w:marRight w:val="0"/>
      <w:marTop w:val="0"/>
      <w:marBottom w:val="0"/>
      <w:divBdr>
        <w:top w:val="none" w:sz="0" w:space="0" w:color="auto"/>
        <w:left w:val="none" w:sz="0" w:space="0" w:color="auto"/>
        <w:bottom w:val="none" w:sz="0" w:space="0" w:color="auto"/>
        <w:right w:val="none" w:sz="0" w:space="0" w:color="auto"/>
      </w:divBdr>
    </w:div>
    <w:div w:id="21431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my-orcid?orcid=0009-0004-3785-6725" TargetMode="External"/><Relationship Id="rId13" Type="http://schemas.openxmlformats.org/officeDocument/2006/relationships/hyperlink" Target="http://weather.uwyo.edu/upperair/soundin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atmosres.2017.03.0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749-8198.2010.00395.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orcid.org/0000-0303-4784-132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8C28484-A0D6-4A3F-8617-1EF3914E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1090</Words>
  <Characters>6217</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TEMPLATES FOR ARTICLES TO HARMO-10</vt:lpstr>
      <vt:lpstr>TEMPLATES FOR ARTICLES TO HARMO-10</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ARTICLES TO HARMO-10</dc:title>
  <dc:subject/>
  <dc:creator>Amela Jericevic</dc:creator>
  <cp:keywords/>
  <cp:lastModifiedBy>Emrah Tuncay Özdemir</cp:lastModifiedBy>
  <cp:revision>8</cp:revision>
  <cp:lastPrinted>2005-06-24T13:58:00Z</cp:lastPrinted>
  <dcterms:created xsi:type="dcterms:W3CDTF">2025-06-23T07:33:00Z</dcterms:created>
  <dcterms:modified xsi:type="dcterms:W3CDTF">2025-10-08T00:00:00Z</dcterms:modified>
</cp:coreProperties>
</file>